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PEhrlInstZustV</w:t>
      </w:r>
    </w:p>
    <w:p>
      <w:r>
        <w:rPr>
          <w:color w:val="555555"/>
          <w:sz w:val="18"/>
        </w:rPr>
        <w:t xml:space="preserve">Verordnung zur Änderung der Zuständigkeit des Paul-Ehrlich-Instituts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77 Abs. 4 des Arzneimittelgesetzes in der Fassung der Bekanntmachung vom 19. Oktober 1994 (BGBl. I S. 3018) verordnet das Bundesministerium für Gesundheit:</w:t>
      </w:r>
    </w:p>
    <w:p>
      <w:r>
        <w:rPr>
          <w:color w:val="555555"/>
          <w:sz w:val="17"/>
        </w:rPr>
        <w:t xml:space="preserve">Zitiervorschlag: Eingangsformel PEhrlInstZustV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https://recht.nulegal.eu/gesetze/PEhrlInstZustV/eingangsformel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