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PEhrlInstZustV</w:t>
      </w:r>
    </w:p>
    <w:p>
      <w:r>
        <w:rPr>
          <w:color w:val="555555"/>
          <w:sz w:val="18"/>
        </w:rPr>
        <w:t xml:space="preserve">Verordnung zur Änderung der Zuständigkeit des Paul-Ehrlich-Instituts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Paul-Ehrlich-Institut ist zusätzlich zu den Zuständigkeiten nach § 77 Abs. 2 des Arzneimittelgesetzes zuständig für</w:t>
      </w:r>
    </w:p>
    <w:p>
      <w:pPr>
        <w:ind w:left="420"/>
      </w:pPr>
      <w:r>
        <w:t xml:space="preserve">1. Arzneimittel, die gentechnologisch hergestellte Blutgerinnungsfaktoren enthalten,</w:t>
      </w:r>
    </w:p>
    <w:p>
      <w:pPr>
        <w:ind w:left="420"/>
      </w:pPr>
      <w:r>
        <w:t xml:space="preserve">2. BCG-Bakterien enthaltende Arzneimittel, die zur unspezifischen Stimulierung des Immunsystems bestimmt sind.</w:t>
      </w:r>
    </w:p>
    <w:p>
      <w:r>
        <w:rPr>
          <w:color w:val="555555"/>
          <w:sz w:val="17"/>
        </w:rPr>
        <w:t xml:space="preserve">Zitiervorschlag: § 2 PEhrlInstZustV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https://recht.nulegal.eu/gesetze/PEhrlInstZustV/2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