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PEhrlInstZustV</w:t>
      </w:r>
    </w:p>
    <w:p>
      <w:r>
        <w:rPr>
          <w:color w:val="555555"/>
          <w:sz w:val="18"/>
        </w:rPr>
        <w:t xml:space="preserve">Verordnung zur Änderung der Zuständigkeit des Paul-Ehrlich-Instituts</w:t>
      </w:r>
    </w:p>
    <w:p>
      <w:r>
        <w:rPr>
          <w:color w:val="555555"/>
          <w:sz w:val="18"/>
        </w:rPr>
        <w:t xml:space="preserve">Stand: 19.07.2022 (konsolidierte Textfassung, kein amtliches Inkrafttretensdatum)</w:t>
      </w:r>
    </w:p>
    <w:p>
      <w:r>
        <w:t xml:space="preserve">Von der Zuständigkeit des Paul-Ehrlich-Instituts nach § 77 Abs. 2 des Arzneimittelgesetzes ausgenommen sind</w:t>
      </w:r>
    </w:p>
    <w:p>
      <w:pPr>
        <w:ind w:left="420"/>
      </w:pPr>
      <w:r>
        <w:t xml:space="preserve">1. homöopathische Arzneimittel, die aus Blut gewonnene Blutbestandteile oder Zubereitungen aus Blutbestandteilen sind oder enthalten,</w:t>
      </w:r>
    </w:p>
    <w:p>
      <w:pPr>
        <w:ind w:left="420"/>
      </w:pPr>
      <w:r>
        <w:t xml:space="preserve">2. Arzneimittel aus Blut oder Blutbestandteilen von Tieren, soweit es sich nicht um Zubereitungen von Blutgerinnungsfaktoren oder Seren handelt.</w:t>
      </w:r>
    </w:p>
    <w:p>
      <w:r>
        <w:rPr>
          <w:color w:val="555555"/>
          <w:sz w:val="17"/>
        </w:rPr>
        <w:t xml:space="preserve">Zitiervorschlag: § 1 PEhrlInstZustV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https://recht.nulegal.eu/gesetze/PEhrlInstZustV/1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