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PDSV 2002 — Begriffsbestimmungen</w:t>
      </w:r>
    </w:p>
    <w:p>
      <w:r>
        <w:rPr>
          <w:color w:val="555555"/>
          <w:sz w:val="18"/>
        </w:rPr>
        <w:t xml:space="preserve">Postdienste-Datenschutzverordnung</w:t>
      </w:r>
    </w:p>
    <w:p>
      <w:r>
        <w:rPr>
          <w:color w:val="555555"/>
          <w:sz w:val="18"/>
        </w:rPr>
        <w:t xml:space="preserve">Historische Fassung: Stand 10.06.2019 bis 02.12.2019. Dies ist nicht die aktuelle Fassung.</w:t>
      </w:r>
    </w:p>
    <w:p>
      <w:r>
        <w:t xml:space="preserve">Im Sinne dieser Verordnung sind</w:t>
      </w:r>
    </w:p>
    <w:p>
      <w:pPr>
        <w:ind w:left="420"/>
      </w:pPr>
      <w:r>
        <w:t xml:space="preserve">1. Diensteanbieteralle, die ganz oder teilweise geschäftsmäßig Postdienste erbringen oder daran mitwirken;</w:t>
      </w:r>
    </w:p>
    <w:p>
      <w:pPr>
        <w:ind w:left="420"/>
      </w:pPr>
      <w:r>
        <w:t xml:space="preserve">2. am Postverkehr Beteiligte</w:t>
      </w:r>
    </w:p>
    <w:p>
      <w:pPr>
        <w:ind w:left="780"/>
      </w:pPr>
      <w:r>
        <w:t xml:space="preserve">a) diejenigen, die mit einem Diensteanbieter einen Vertrag über Postdienste schließen oder geschlossen haben (Kunden),</w:t>
      </w:r>
    </w:p>
    <w:p>
      <w:pPr>
        <w:ind w:left="780"/>
      </w:pPr>
      <w:r>
        <w:t xml:space="preserve">b) Personen, die Postdienste eines Diensteanbieters nutzen, einschließlich der Empfänger und Ersatzempfänger von Postsendungen.</w:t>
      </w:r>
    </w:p>
    <w:p>
      <w:r>
        <w:rPr>
          <w:color w:val="555555"/>
          <w:sz w:val="17"/>
        </w:rPr>
        <w:t xml:space="preserve">Zitiervorschlag: § 2 PDSV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https://recht.nulegal.eu/gesetze/PDSV%202002/2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