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PDLV — Nachforschung</w:t>
      </w:r>
    </w:p>
    <w:p>
      <w:r>
        <w:rPr>
          <w:color w:val="555555"/>
          <w:sz w:val="18"/>
        </w:rPr>
        <w:t xml:space="preserve">Postdienstleistungsverordnung</w:t>
      </w:r>
    </w:p>
    <w:p>
      <w:r>
        <w:rPr>
          <w:color w:val="555555"/>
          <w:sz w:val="18"/>
        </w:rPr>
        <w:t xml:space="preserve">Historische Fassung: Stand 10.06.2019 bis 26.07.2024. Dies ist nicht die aktuelle Fassung.</w:t>
      </w:r>
    </w:p>
    <w:p>
      <w:r>
        <w:t xml:space="preserve">Der Absender kann Nachforschungen nach dem Verbleib eingelieferter Briefsendungen, die marktbeherrschende Anbieter von lizenzpflichtigen Postdienstleistungen auf diesem Markt befördern, verlangen. Der Anbieter solcher Postdienstleistungen hat Nachforschungsaufträge unverzüglich zu bearbeiten und den Absender über das Ergebnis der Nachforschung zu unterrichten. Stellt sich heraus, dass ein Verschulden des Anbieters ausgeschlossen werden kann, kann auf der Grundlage der Allgemeinen Geschäftsbedingungen ein Entgelt für die Nachforschung erhoben werden.</w:t>
      </w:r>
    </w:p>
    <w:p>
      <w:r>
        <w:rPr>
          <w:color w:val="555555"/>
          <w:sz w:val="17"/>
        </w:rPr>
        <w:t xml:space="preserve">Zitiervorschlag: § 8 PDLV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https://recht.nulegal.eu/gesetze/PDLV/8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