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PDLV — Nachsendung und Lagerung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(1) Marktbeherrschende Anbieter von lizenzpflichtigen Postdienstleistungen müssen auf diesem Markt beförderte Briefsendungen auf schriftlichen Antrag des Empfängers für einen Zeitraum von bis zu sechs Monaten nachsenden.</w:t>
      </w:r>
    </w:p>
    <w:p>
      <w:r>
        <w:t xml:space="preserve">(2) Marktbeherrschende Anbieter von lizenzpflichtigen Postdienstleistungen müssen auf diesem Markt beförderte Briefsendungen, ausgenommen Nachnahmesendungen, auf schriftlichen Antrag des Empfängers für einen Zeitraum von bis zu vier Wochen lagern.</w:t>
      </w:r>
    </w:p>
    <w:p>
      <w:r>
        <w:rPr>
          <w:color w:val="555555"/>
          <w:sz w:val="17"/>
        </w:rPr>
        <w:t xml:space="preserve">Zitiervorschlag: § 7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