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PDLV — Nichtdiskriminierung</w:t>
      </w:r>
    </w:p>
    <w:p>
      <w:r>
        <w:rPr>
          <w:color w:val="555555"/>
          <w:sz w:val="18"/>
        </w:rPr>
        <w:t xml:space="preserve">Postdienstleistungsverordnung</w:t>
      </w:r>
    </w:p>
    <w:p>
      <w:r>
        <w:rPr>
          <w:color w:val="555555"/>
          <w:sz w:val="18"/>
        </w:rPr>
        <w:t xml:space="preserve">Historische Fassung: Stand 10.06.2019 bis 26.07.2024. Dies ist nicht die aktuelle Fassung.</w:t>
      </w:r>
    </w:p>
    <w:p>
      <w:r>
        <w:t xml:space="preserve">Marktbeherrschende Anbieter von Postdienstleistungen haben die Leistungen auf diesem Markt jedermann zu gleichen Bedingungen zur Verfügung zu stellen, es sei denn, dass unterschiedliche Bedingungen sachlich gerechtfertigt sind.</w:t>
      </w:r>
    </w:p>
    <w:p>
      <w:r>
        <w:rPr>
          <w:color w:val="555555"/>
          <w:sz w:val="17"/>
        </w:rPr>
        <w:t xml:space="preserve">Zitiervorschlag: § 2 PDLV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https://recht.nulegal.eu/gesetze/PDLV/2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