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PCBAbfallV — Ordnungswidrigkeiten</w:t>
      </w:r>
    </w:p>
    <w:p>
      <w:r>
        <w:rPr>
          <w:color w:val="555555"/>
          <w:sz w:val="18"/>
        </w:rPr>
        <w:t xml:space="preserve">PCB/PCT-Abfallverordnung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69 Absatz 1 Nummer 8 des Kreislaufwirtschaftsgesetzes handelt, wer vorsätzlich oder fahrlässig entgegen § 2 Abs. 1 Satz 1 in Verbindung mit Abs. 4 oder 5 PCB nicht, nicht richtig, nicht vollständig oder nicht rechtzeitig beseitigt.</w:t>
      </w:r>
    </w:p>
    <w:p>
      <w:r>
        <w:rPr>
          <w:color w:val="555555"/>
          <w:sz w:val="17"/>
        </w:rPr>
        <w:t xml:space="preserve">Zitiervorschlag: § 5 PCBAbfallV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https://recht.nulegal.eu/gesetze/PCBAbfallV/5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