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PCBAbfallV — Pflichten zur Entsorgung</w:t>
      </w:r>
    </w:p>
    <w:p>
      <w:r>
        <w:rPr>
          <w:color w:val="555555"/>
          <w:sz w:val="18"/>
        </w:rPr>
        <w:t xml:space="preserve">PCB/PCT-Abfallverordnung</w:t>
      </w:r>
    </w:p>
    <w:p>
      <w:r>
        <w:rPr>
          <w:color w:val="555555"/>
          <w:sz w:val="18"/>
        </w:rPr>
        <w:t xml:space="preserve">Stand: 10.06.2019 (konsolidierte Textfassung, kein amtliches Inkrafttretensdatum)</w:t>
      </w:r>
    </w:p>
    <w:p>
      <w:r>
        <w:t xml:space="preserve">(1) Der Besitzer hat PCB unverzüglich zu beseitigen. Dies gilt nicht, soweit PCB im Sinne von § 1 Abs. 2 Nr. 3 nach Absatz 2 verwertet werden dürfen.</w:t>
      </w:r>
    </w:p>
    <w:p>
      <w:r>
        <w:t xml:space="preserve">(2) Absatz 1 Satz 1 gilt nicht, soweit PCB nach § 1 Abs. 2 Nr. 1 und 2 von Erzeugnissen abgetrennt und einer Beseitigung zugeführt werden. Für die Entsorgung der nachfolgend genannten PCB-haltigen Erzeugnisse ist insbesondere zu beachten:</w:t>
      </w:r>
    </w:p>
    <w:p>
      <w:pPr>
        <w:ind w:left="420"/>
      </w:pPr>
      <w:r>
        <w:t xml:space="preserve">1. Transformatoren oder sonstige Behältnisse, die Stoffe nach § 1 Abs. 2 Nr. 1 oder Zubereitungen nach § 1 Abs. 2 Nr. 2 als Flüssigkeit enthalten, sind zu entleeren. Die metallischen Bestandteile, insbesondere das Gehäuse, die Spule und die Transformatorbleche, sind so zu behandeln, dass eine schadlose und ordnungsgemäße Verwertung dieser Bestandteile möglich ist und die PCB dabei zerstört oder beseitigt werden.</w:t>
      </w:r>
    </w:p>
    <w:p>
      <w:pPr>
        <w:ind w:left="420"/>
      </w:pPr>
      <w:r>
        <w:t xml:space="preserve">2. Aus anderen Erzeugnissen, insbesondere Geräten der Informationstechnik und der Bürokommunikation, elektrischen Geräten oder Leuchtstofflampen, sind, soweit technisch möglich und wirtschaftlich zumutbar, Bauteile, die Stoffe nach § 1 Abs. 2 Nr. 1 oder Zubereitungen nach § 1 Abs. 2 Nr. 2 enthalten, zu entfernen, getrennt zu halten und getrennt zu beseitigen.</w:t>
      </w:r>
    </w:p>
    <w:p>
      <w:r>
        <w:t xml:space="preserve">(3) Zur Gewährleistung einer ordnungsgemäßen und schadlosen Verwertung sowie zur gemeinwohlverträglichen Abfallbeseitigung ist beim Entstehen von Abfällen, die bei Bautätigkeiten anfallen, bereits vor einer Sortierung sicherzustellen, dass die Fraktionen, die Stoffe nach § 1 Abs. 2 Nr. 1 oder Zubereitungen nach § 1 Abs. 2 Nr. 2 enthalten, zu entfernen, getrennt zu halten und getrennt zu beseitigen sind, soweit dies technisch möglich und wirtschaftlich zumutbar ist.</w:t>
      </w:r>
    </w:p>
    <w:p>
      <w:r>
        <w:t xml:space="preserve">(4) Die Entsorgung von PCB darf nur in einer hierfür nach § 4 des Bundes-Immissionsschutzgesetzes oder nach § 35 Absatz 2 des Kreislaufwirtschaftsgesetzes zugelassenen Anlage erfolgen.</w:t>
      </w:r>
    </w:p>
    <w:p>
      <w:r>
        <w:t xml:space="preserve">(5) Die Beseitigung von PCB darf nur mit den Verfahren D8, D9 oder D15, dem sich die Verfahren D10 oder D12 entsprechend Anlage 1 des Kreislaufwirtschaftsgesetzes anschließen, sowie D10 oder D12 erfolgen. Bei dem Verfahren D12 dürfen Abfälle nach § 1 Abs. 2 Nr. 3, deren Flüssigkeit abgelassen worden ist, in zugelassenen Untertagedeponien im Salzgestein nur abgelagert werden, soweit die Nutzung eines Verfahrens D9 oder D10 technisch nicht möglich oder wirtschaftlich nicht zumutbar ist.</w:t>
      </w:r>
    </w:p>
    <w:p>
      <w:r>
        <w:rPr>
          <w:color w:val="555555"/>
          <w:sz w:val="17"/>
        </w:rPr>
        <w:t xml:space="preserve">Zitiervorschlag: § 2 PCBAbfallV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https://recht.nulegal.eu/gesetze/PCBAbfallV/2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