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PCBAbfallV — Anwendungsbereich</w:t>
      </w:r>
    </w:p>
    <w:p>
      <w:r>
        <w:rPr>
          <w:color w:val="555555"/>
          <w:sz w:val="18"/>
        </w:rPr>
        <w:t xml:space="preserve">PCB/PCT-Abfallverordnung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Verordnung gilt für nachfolgend definierte "PCB", die als Abfälle entsorgt werden oder entsorgt werden müssen.</w:t>
      </w:r>
    </w:p>
    <w:p>
      <w:r>
        <w:t xml:space="preserve">(2) "PCB" bezeichnet im Sinne dieser Verordnung</w:t>
      </w:r>
    </w:p>
    <w:p>
      <w:pPr>
        <w:ind w:left="420"/>
      </w:pPr>
      <w:r>
        <w:t xml:space="preserve">1. die Stoffe</w:t>
      </w:r>
    </w:p>
    <w:p>
      <w:pPr>
        <w:ind w:left="780"/>
      </w:pPr>
      <w:r>
        <w:t xml:space="preserve">a) polychlorierte Biphenyle: trichlorierte und höherchlorierte Biphenyle,</w:t>
      </w:r>
    </w:p>
    <w:p>
      <w:pPr>
        <w:ind w:left="780"/>
      </w:pPr>
      <w:r>
        <w:t xml:space="preserve">b) polychlorierte Terphenyle,</w:t>
      </w:r>
    </w:p>
    <w:p>
      <w:pPr>
        <w:ind w:left="780"/>
      </w:pPr>
      <w:r>
        <w:t xml:space="preserve">c) halogenierte Monomethyldiphenylmethane: Monomethyltetrachlordiphenylmethan, Monomethyldichlordiphenylmethan, Monomethyldibromdiphenylmethan,</w:t>
      </w:r>
    </w:p>
    <w:p>
      <w:pPr>
        <w:ind w:left="420"/>
      </w:pPr>
      <w:r>
        <w:t xml:space="preserve">2. Zubereitungen im Sinne des Chemikaliengesetzes,</w:t>
      </w:r>
    </w:p>
    <w:p>
      <w:pPr>
        <w:ind w:left="780"/>
      </w:pPr>
      <w:r>
        <w:t xml:space="preserve">a) die insgesamt mehr als 50 mg/kg der Stoffe nach Nummer 1 enthalten,</w:t>
      </w:r>
    </w:p>
    <w:p>
      <w:pPr>
        <w:ind w:left="780"/>
      </w:pPr>
      <w:r>
        <w:t xml:space="preserve">b) bei denen der Verdacht besteht, dass sie unter Buchstabe a fallen, solange bis das Gegenteil durch den Abfallerzeuger oder Abfallbesitzer bewiesen ist,</w:t>
      </w:r>
    </w:p>
    <w:p>
      <w:pPr>
        <w:ind w:left="420"/>
      </w:pPr>
      <w:r>
        <w:t xml:space="preserve">3. Erzeugnisse im Sinne des Chemikaliengesetzes,</w:t>
      </w:r>
    </w:p>
    <w:p>
      <w:pPr>
        <w:ind w:left="780"/>
      </w:pPr>
      <w:r>
        <w:t xml:space="preserve">a) die Stoffe nach Nummer 1 zu insgesamt mehr als 50 mg/kg oder Zubereitungen nach Nummer 2 enthalten,</w:t>
      </w:r>
    </w:p>
    <w:p>
      <w:pPr>
        <w:ind w:left="780"/>
      </w:pPr>
      <w:r>
        <w:t xml:space="preserve">b) bei denen der Verdacht besteht, dass sie unter Buchstabe a fallen, solange bis das Gegenteil durch den Abfallerzeuger oder Abfallbesitzer bewiesen ist.</w:t>
      </w:r>
    </w:p>
    <w:p>
      <w:pPr>
        <w:ind w:left="420"/>
      </w:pPr>
      <w:r>
        <w:t xml:space="preserve">Bei der Beurteilung, ob ein aus mehreren Einzelerzeugnissen zusammengefügtes Erzeugnis unter Buchstabe a fällt, ist das Einzelerzeugnis maßgebend, welches die Stoffe nach Nummer 1 oder Zubereitungen nach Nummer 2 enthält.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 PCBAbfallV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https://recht.nulegal.eu/gesetze/PCBAbfallV/1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