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PBefKstV (Brandenburg)</w:t>
      </w:r>
    </w:p>
    <w:p>
      <w:r>
        <w:rPr>
          <w:color w:val="555555"/>
          <w:sz w:val="18"/>
        </w:rPr>
        <w:t xml:space="preserve">Verordnung über Kostensätze für Ausgleichszahlungen nach § 45a des Personenbeförderungsgesetzes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2002 in Kraft.</w:t>
      </w:r>
    </w:p>
    <w:p>
      <w:r>
        <w:t xml:space="preserve">Gleichzeitig tritt die Verordnung über Kostensätze für</w:t>
      </w:r>
    </w:p>
    <w:p>
      <w:r>
        <w:t xml:space="preserve">Ausgleichszahlungen nach § 45a des Personenbeförderungsgesetzes vom</w:t>
      </w:r>
    </w:p>
    <w:p>
      <w:r>
        <w:t xml:space="preserve">7. Juli 2000 (GVBl. II S. 222) außer Kraft.</w:t>
      </w:r>
    </w:p>
    <w:p>
      <w:r>
        <w:rPr>
          <w:color w:val="555555"/>
          <w:sz w:val="17"/>
        </w:rPr>
        <w:t xml:space="preserve">Zitiervorschlag: § 3 PBefKstV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https://recht.nulegal.eu/gesetze/PBefKstV/3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