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PBefKstV (Brandenburg)</w:t>
      </w:r>
    </w:p>
    <w:p>
      <w:r>
        <w:rPr>
          <w:color w:val="555555"/>
          <w:sz w:val="18"/>
        </w:rPr>
        <w:t xml:space="preserve">Verordnung über Kostensätze für Ausgleichszahlungen nach § 45a des Personenbeförderungsgesetzes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Grundlage für die Zuordnung der Unternehmen nach</w:t>
      </w:r>
    </w:p>
    <w:p>
      <w:r>
        <w:t xml:space="preserve">§ 1 Nr. 1 und 2 bilden die jeweils vom Amt für</w:t>
      </w:r>
    </w:p>
    <w:p>
      <w:r>
        <w:t xml:space="preserve">Statistik Berlin-Brandenburg ausgewiesenen, stichtagsbezogenen</w:t>
      </w:r>
    </w:p>
    <w:p>
      <w:r>
        <w:t xml:space="preserve">Bevölkerungszahlen.</w:t>
      </w:r>
    </w:p>
    <w:p>
      <w:r>
        <w:rPr>
          <w:color w:val="555555"/>
          <w:sz w:val="17"/>
        </w:rPr>
        <w:t xml:space="preserve">Zitiervorschlag: § 2 PBefKstV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https://recht.nulegal.eu/gesetze/PBefKstV/2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