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PBefGZV (Brandenburg) — Erlaß von Rechtsverordnungen</w:t>
      </w:r>
    </w:p>
    <w:p>
      <w:r>
        <w:rPr>
          <w:color w:val="555555"/>
          <w:sz w:val="18"/>
        </w:rPr>
        <w:t xml:space="preserve">Verordnung über die zuständigen Behörden und über die Ermächtigung zum Erlass von Rechtsverordnungen nach dem Personenbeförderungsgesetz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der Landesregierung durch § 47 Abs. 3 Satz 1 und</w:t>
      </w:r>
    </w:p>
    <w:p>
      <w:r>
        <w:t xml:space="preserve">§ 51 Abs. 1 Satz 1 des Personenbeförderungsgesetzes erteilten</w:t>
      </w:r>
    </w:p>
    <w:p>
      <w:r>
        <w:t xml:space="preserve">Ermächtigungen zum Erlaß von Rechtsverordnungen</w:t>
      </w:r>
    </w:p>
    <w:p>
      <w:r>
        <w:t xml:space="preserve">über den Umfang der Betriebspflicht, die Ordnung auf Taxiständen</w:t>
      </w:r>
    </w:p>
    <w:p>
      <w:r>
        <w:t xml:space="preserve">sowie Einzelheiten des Dienstbetriebes,</w:t>
      </w:r>
    </w:p>
    <w:p>
      <w:r>
        <w:t xml:space="preserve">zur Festsetzung von Beförderungsbedingungen und</w:t>
      </w:r>
    </w:p>
    <w:p>
      <w:r>
        <w:t xml:space="preserve">Beförderungsentgelten für den Gelegenheitsverkehr mit Taxen</w:t>
      </w:r>
    </w:p>
    <w:p>
      <w:r>
        <w:t xml:space="preserve">werden auf die Landkreise und kreisfreien Städte</w:t>
      </w:r>
    </w:p>
    <w:p>
      <w:r>
        <w:t xml:space="preserve">übertragen.</w:t>
      </w:r>
    </w:p>
    <w:p>
      <w:r>
        <w:rPr>
          <w:color w:val="555555"/>
          <w:sz w:val="17"/>
        </w:rPr>
        <w:t xml:space="preserve">Zitiervorschlag: § 6 PBefGZV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