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PBefGZV (Brandenburg) — Zuständigkeit des Ministeriums für Stadtentwicklung, Wohnen und Verkehr</w:t>
      </w:r>
    </w:p>
    <w:p>
      <w:r>
        <w:rPr>
          <w:color w:val="555555"/>
          <w:sz w:val="18"/>
        </w:rPr>
        <w:t xml:space="preserve">Verordnung über die zuständigen Behörden und über die Ermächtigung zum Erlass von Rechtsverordnungen nach dem Personenbeförderungsgesetz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Ministerium für Stadtentwicklung, Wohnen und Verkehr</w:t>
      </w:r>
    </w:p>
    <w:p>
      <w:r>
        <w:t xml:space="preserve">ist zuständig für die</w:t>
      </w:r>
    </w:p>
    <w:p>
      <w:r>
        <w:t xml:space="preserve">Entscheidung in Zweifelsfällen nach § 10 des</w:t>
      </w:r>
    </w:p>
    <w:p>
      <w:r>
        <w:t xml:space="preserve">Personenbeförderungsgesetzes,</w:t>
      </w:r>
    </w:p>
    <w:p>
      <w:r>
        <w:t xml:space="preserve">Benennung der zuständigen Genehmigungsbehörde in</w:t>
      </w:r>
    </w:p>
    <w:p>
      <w:r>
        <w:t xml:space="preserve">Zweifelsfällen nach § 11 Abs. 3 Satz 2 des</w:t>
      </w:r>
    </w:p>
    <w:p>
      <w:r>
        <w:t xml:space="preserve">Personenbeförderungsgesetzes,</w:t>
      </w:r>
    </w:p>
    <w:p>
      <w:r>
        <w:t xml:space="preserve">Entscheidung bei fehlender Verständigung über Einwendungen nach</w:t>
      </w:r>
    </w:p>
    <w:p>
      <w:r>
        <w:t xml:space="preserve">§ 29 Abs. 3 des Personenbeförderungsgesetzes,</w:t>
      </w:r>
    </w:p>
    <w:p>
      <w:r>
        <w:t xml:space="preserve">Entscheidung über die Benutzung öffentlicher Straßen bei</w:t>
      </w:r>
    </w:p>
    <w:p>
      <w:r>
        <w:t xml:space="preserve">fehlender Einigung nach § 31 Abs. 5 des Personenbeförderungsgesetzes,</w:t>
      </w:r>
    </w:p>
    <w:p>
      <w:r>
        <w:t xml:space="preserve">Ermächtigung der Genehmigungsbehörden zur Übertragung der</w:t>
      </w:r>
    </w:p>
    <w:p>
      <w:r>
        <w:t xml:space="preserve">Aufsicht nach § 54 Abs. 1 Satz 2 des Personenbeförderungsgesetzes,</w:t>
      </w:r>
    </w:p>
    <w:p>
      <w:r>
        <w:t xml:space="preserve">Ausübung der technischen Aufsicht über Straßenbahnen und</w:t>
      </w:r>
    </w:p>
    <w:p>
      <w:r>
        <w:t xml:space="preserve">Obusunternehmen nach § 54 Abs. 1 Satz 3 des</w:t>
      </w:r>
    </w:p>
    <w:p>
      <w:r>
        <w:t xml:space="preserve">Personenbeförderungsgesetzes.</w:t>
      </w:r>
    </w:p>
    <w:p>
      <w:r>
        <w:rPr>
          <w:color w:val="555555"/>
          <w:sz w:val="17"/>
        </w:rPr>
        <w:t xml:space="preserve">Zitiervorschlag: § 2 PBefGZV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