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PBefGKostV</w:t>
      </w:r>
    </w:p>
    <w:p>
      <w:r>
        <w:rPr>
          <w:color w:val="555555"/>
          <w:sz w:val="18"/>
        </w:rPr>
        <w:t xml:space="preserve">Kostenverordnung für Amtshandlungen im entgeltlichen oder geschäftsmäßigen Personenverkehr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Abs. 1 Nr. 10 des Personenbeförderungsgesetzes in der Fassung der Bekanntmachung vom 8. August 1990 (BGBl. I S. 1690), der durch Artikel 1 Nr. 2 des Gesetzes vom 23. Juli 1992 (BGBl. I S. 1379) geändert worden ist, und auf Grund des § 56 des Personenbeförderungsgesetzes, der durch Artikel 4 Nr. 1 des Gesetzes vom 19. März 2001 (BGBl. I S. 386) geändert worden ist, in Verbindung mit dem 2. Abschnitt des Verwaltungskostengesetzes vom 23. Juni 1970 (BGBl. I S. 821), dem Artikel 56 Abs. 1 des Zuständigkeitsanpassungs-Gesetzes vom 18. März 1975 (BGBl. I S. 705) und dem Organisationserlass des Bundeskanzlers vom 27. Oktober 1998 (BGBl. I S. 3288) verordnet das Bundesministerium für Verkehr, Bau- und Wohnungswesen:</w:t>
      </w:r>
    </w:p>
    <w:p>
      <w:r>
        <w:rPr>
          <w:color w:val="555555"/>
          <w:sz w:val="17"/>
        </w:rPr>
        <w:t xml:space="preserve">Zitiervorschlag: Eingangsformel PBefGKostV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https://recht.nulegal.eu/gesetze/PBefGKostV/eingangsformel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