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PBefGKostV</w:t>
      </w:r>
    </w:p>
    <w:p>
      <w:r>
        <w:rPr>
          <w:color w:val="555555"/>
          <w:sz w:val="18"/>
        </w:rPr>
        <w:t xml:space="preserve">Kostenverordnung für Amtshandlungen im entgeltlichen oder geschäftsmäßigen Personenverkehr mit Kraftfahrzeugen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Gebührenfrei sind:</w:t>
      </w:r>
    </w:p>
    <w:p>
      <w:pPr>
        <w:ind w:left="420"/>
      </w:pPr>
      <w:r>
        <w:t xml:space="preserve">1. Amtshandlungen, die im Zusammenhang mit einer nach § 21 Abs. 3 des Personenbeförderungsgesetzes angeordneten Erweiterung oder Änderung eines Verkehrs erforderlich sind,</w:t>
      </w:r>
    </w:p>
    <w:p>
      <w:pPr>
        <w:ind w:left="420"/>
      </w:pPr>
      <w:r>
        <w:t xml:space="preserve">2. Amtshandlungen im Zusammenhang mit dem Ausgleich gemeinwirtschaftlicher Leistungen im Linienverkehr mit Kraftfahrzeugen nach § 45a des Personenbeförderungsgesetzes und der Verordnung über den Ausgleich gemeinwirtschaftlicher Leistungen im Straßenpersonenverkehr vom 2. August 1977 (BGBl. I S. 1460), zuletzt geändert durch Artikel 3 Abs. 14 des Gesetzes vom 17. Dezember 1993 (BGBl. I S. 2118).</w:t>
      </w:r>
    </w:p>
    <w:p>
      <w:r>
        <w:rPr>
          <w:color w:val="555555"/>
          <w:sz w:val="17"/>
        </w:rPr>
        <w:t xml:space="preserve">Zitiervorschlag: § 2 PBefGKostV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https://recht.nulegal.eu/gesetze/PBefGKostV/2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