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PBefGKostV</w:t>
      </w:r>
    </w:p>
    <w:p>
      <w:r>
        <w:rPr>
          <w:color w:val="555555"/>
          <w:sz w:val="18"/>
        </w:rPr>
        <w:t xml:space="preserve">Kostenverordnung für Amtshandlungen im entgeltlichen oder geschäftsmäßigen Personenverkehr mit Kraftfahrzeugen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Kosten (Gebühren und Auslagen) werden für die im anliegenden Gebührenverzeichnis aufgeführten Amtshandlungen erhoben.</w:t>
      </w:r>
    </w:p>
    <w:p>
      <w:r>
        <w:rPr>
          <w:color w:val="555555"/>
          <w:sz w:val="17"/>
        </w:rPr>
        <w:t xml:space="preserve">Zitiervorschlag: § 1 PBefGKostV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https://recht.nulegal.eu/gesetze/PBefGKostV/1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