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PBefG — Andere Gesetze</w:t>
      </w:r>
    </w:p>
    <w:p>
      <w:r>
        <w:rPr>
          <w:color w:val="555555"/>
          <w:sz w:val="18"/>
        </w:rPr>
        <w:t xml:space="preserve">Personenbeförderungsgesetz</w:t>
      </w:r>
    </w:p>
    <w:p>
      <w:r>
        <w:rPr>
          <w:color w:val="555555"/>
          <w:sz w:val="18"/>
        </w:rPr>
        <w:t xml:space="preserve">Stand: 17.04.2024 (konsolidierte Textfassung, kein amtliches Inkrafttretensdatum)</w:t>
      </w:r>
    </w:p>
    <w:p>
      <w:r>
        <w:t xml:space="preserve">(1) Durch dieses Gesetz werden die Vorschriften</w:t>
      </w:r>
    </w:p>
    <w:p>
      <w:pPr>
        <w:ind w:left="420"/>
      </w:pPr>
      <w:r>
        <w:t xml:space="preserve">1. des Straßenverkehrsgesetzes vom 19. Dezember 1952 (BGBl. I S. 837) sowie die auf Grund dieses Gesetzes erlassenen Vorschriften,</w:t>
      </w:r>
    </w:p>
    <w:p>
      <w:pPr>
        <w:ind w:left="420"/>
      </w:pPr>
      <w:r>
        <w:t xml:space="preserve">2. des Haftpflichtgesetzes in der Fassung der Bekanntmachung vom 4. Januar 1978 (BGBl. I S. 145),</w:t>
      </w:r>
    </w:p>
    <w:p>
      <w:pPr>
        <w:ind w:left="420"/>
      </w:pPr>
      <w:r>
        <w:t xml:space="preserve">3. (weggefallen)</w:t>
      </w:r>
    </w:p>
    <w:p>
      <w:pPr>
        <w:ind w:left="420"/>
      </w:pPr>
      <w:r>
        <w:t xml:space="preserve">4. des Pflichtversicherungsgesetzes und</w:t>
      </w:r>
    </w:p>
    <w:p>
      <w:pPr>
        <w:ind w:left="420"/>
      </w:pPr>
      <w:r>
        <w:t xml:space="preserve">5. des Auslandsfahrzeug-Pflichtversicherungsgesetzes</w:t>
      </w:r>
    </w:p>
    <w:p>
      <w:r>
        <w:t xml:space="preserve">nicht berührt, soweit sich nicht aus § 23 etwas anderes ergibt.</w:t>
      </w:r>
    </w:p>
    <w:p>
      <w:r>
        <w:t xml:space="preserve">(2) Die Vorschriften des Gesetzes über Maßnahmen zur Aufrechterhaltung des Betriebs von Bahnunternehmen des öffentlichen Verkehrs vom 7. März 1934 (RGBl. II S. 91) in der Fassung des § 9 Abs. 4 des Allgemeinen Eisenbahngesetzes vom 29. März 1951 (BGBl. I S. 225) sind auf Straßenbahnen und auf Obusunternehmen mit der Maßgabe entsprechend anzuwenden, daß zuständige Aufsichtsbehörde im Sinne des vorgenannten Gesetzes die von der Landesregierung bestimmte Genehmigungsbehörde ist, und daß, wenn eine Straßenbahn oder ein Obusunternehmen das Gebiet mehrerer Länder berührt, die von der Landesregierung bestimmte Genehmigungsbehörde ihre Entscheidung im Einvernehmen mit der von der Landesregierung des mitbeteiligten Landes bestimmten Genehmigungsbehörde trifft.</w:t>
      </w:r>
    </w:p>
    <w:p>
      <w:r>
        <w:rPr>
          <w:color w:val="555555"/>
          <w:sz w:val="17"/>
        </w:rPr>
        <w:t xml:space="preserve">Zitiervorschlag: § 64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