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PBefG — Ordnungswidrigkeiten</w:t>
      </w:r>
    </w:p>
    <w:p>
      <w:r>
        <w:rPr>
          <w:color w:val="555555"/>
          <w:sz w:val="18"/>
        </w:rPr>
        <w:t xml:space="preserve">Personenbeförderungsgesetz</w:t>
      </w:r>
    </w:p>
    <w:p>
      <w:r>
        <w:rPr>
          <w:color w:val="555555"/>
          <w:sz w:val="18"/>
        </w:rPr>
        <w:t xml:space="preserve">Stand: 11.03.2023 (konsolidierte Textfassung, kein amtliches Inkrafttretensdatum)</w:t>
      </w:r>
    </w:p>
    <w:p>
      <w:r>
        <w:t xml:space="preserve">(1) Ordnungswidrig handelt, wer vorsätzlich oder fahrlässig</w:t>
      </w:r>
    </w:p>
    <w:p>
      <w:pPr>
        <w:ind w:left="420"/>
      </w:pPr>
      <w:r>
        <w:t xml:space="preserve">1. Personen mit Straßenbahnen, Obussen oder Kraftfahrzeugen ohne die nach diesem Gesetz erforderliche Genehmigung oder einstweilige Erlaubnis befördert oder den Auflagen der Genehmigung oder einstweiligen Erlaubnis oder Auflagen in einer Entscheidung nach § 45a Abs. 4 Satz 2 zuwiderhandelt;</w:t>
      </w:r>
    </w:p>
    <w:p>
      <w:pPr>
        <w:ind w:left="420"/>
      </w:pPr>
      <w:r>
        <w:t xml:space="preserve">2. einen Verkehr mit Straßenbahnen, Obussen oder einen Linienverkehr mit Kraftfahrzeugen betreibt, ohne daß die nach diesem Gesetz vorgeschriebene Zustimmung zu den Beförderungsentgelten oder Fahrplänen durch die Genehmigungsbehörde erteilt ist;</w:t>
      </w:r>
    </w:p>
    <w:p>
      <w:pPr>
        <w:ind w:left="420"/>
      </w:pPr>
      <w:r>
        <w:t xml:space="preserve">3. den Vorschriften dieses Gesetzes über</w:t>
      </w:r>
    </w:p>
    <w:p>
      <w:pPr>
        <w:ind w:left="780"/>
      </w:pPr>
      <w:r>
        <w:t xml:space="preserve">a) die Mitteilungspflicht bei Betriebsstörungen im Verkehr, die den vorübergehenden Einsatz von Kraftfahrzeugen zur Folge haben (§ 2 Abs. 5 Satz 2),</w:t>
      </w:r>
    </w:p>
    <w:p>
      <w:pPr>
        <w:ind w:left="780"/>
      </w:pPr>
      <w:r>
        <w:t xml:space="preserve">b) das Mitführen und Aushändigen von Urkunden (§ 17 Abs. 4, § 20 Abs. 4),</w:t>
      </w:r>
    </w:p>
    <w:p>
      <w:pPr>
        <w:ind w:left="780"/>
      </w:pPr>
      <w:r>
        <w:t xml:space="preserve">c) die Einhaltung der Beförderungspflicht (§ 22) oder der Beförderungsentgelte (§ 39 Abs. 3, § 41 Abs. 3, § 45 Abs. 2, § 51),</w:t>
      </w:r>
    </w:p>
    <w:p>
      <w:pPr>
        <w:ind w:left="780"/>
      </w:pPr>
      <w:r>
        <w:t xml:space="preserve">d) die Bekanntmachung der Beförderungsentgelte, der Besonderen Beförderungsbedingungen und der gültigen Fahrpläne (§ 39 Abs. 7, § 40 Abs. 4, § 41 Abs. 3, § 45 Abs. 3),</w:t>
      </w:r>
    </w:p>
    <w:p>
      <w:pPr>
        <w:ind w:left="780"/>
      </w:pPr>
      <w:r>
        <w:t xml:space="preserve">e) die technischen Anforderungen für Kraftomnibusse, die im innerdeutschen Personenfernverkehr eingesetzt werden (§ 42b),</w:t>
      </w:r>
    </w:p>
    <w:p>
      <w:pPr>
        <w:ind w:left="780"/>
      </w:pPr>
      <w:r>
        <w:t xml:space="preserve">f) den Verkehr mit Taxen (§ 47 Abs. 2 Satz 1 oder Abs. 5),</w:t>
      </w:r>
    </w:p>
    <w:p>
      <w:pPr>
        <w:ind w:left="780"/>
      </w:pPr>
      <w:r>
        <w:t xml:space="preserve">g) Ausflugsfahrten und Ferienziel-Reisen (§ 48 Abs. 1 bis 3) oder</w:t>
      </w:r>
    </w:p>
    <w:p>
      <w:pPr>
        <w:ind w:left="780"/>
      </w:pPr>
      <w:r>
        <w:t xml:space="preserve">h) den Verkehr mit Mietomnibussen und Mietwagen (§ 49 Abs. 2 Satz 2 und Abs. 4)</w:t>
      </w:r>
    </w:p>
    <w:p>
      <w:pPr>
        <w:ind w:left="420"/>
      </w:pPr>
      <w:r>
        <w:t xml:space="preserve">zuwiderhandelt;</w:t>
      </w:r>
    </w:p>
    <w:p>
      <w:pPr>
        <w:ind w:left="420"/>
      </w:pPr>
      <w:r>
        <w:t xml:space="preserve">3a. entgegen § 54 Absatz 2 Satz 3 eine Mitteilung nicht, nicht richtig, nicht vollständig oder nicht rechtzeitig macht,</w:t>
      </w:r>
    </w:p>
    <w:p>
      <w:pPr>
        <w:ind w:left="420"/>
      </w:pPr>
      <w:r>
        <w:t xml:space="preserve">3b. entgegen § 54a Abs. 1 die Auskunft nicht, unrichtig, nicht vollständig oder nicht fristgemäß erteilt, die Bücher oder Geschäftspapiere nicht, nicht vollständig oder nicht fristgemäß vorlegt oder die Duldung von Prüfungen verweigert;</w:t>
      </w:r>
    </w:p>
    <w:p>
      <w:pPr>
        <w:ind w:left="420"/>
      </w:pPr>
      <w:r>
        <w:t xml:space="preserve">4. einer Rechtsvorschrift oder vollziehbaren schriftlichen Verfügung zuwiderhandelt, die auf Grund dieses Gesetzes oder auf Grund von Rechtsvorschriften, die auf diesem Gesetz beruhen, erlassen worden ist, soweit die Rechtsvorschrift und die vollziehbare schriftliche Verfügung ausdrücklich auf diese Vorschrift verweisen oder</w:t>
      </w:r>
    </w:p>
    <w:p>
      <w:pPr>
        <w:ind w:left="420"/>
      </w:pPr>
      <w:r>
        <w:t xml:space="preserve">5. einer unmittelbar geltenden Vorschrift in Rechtsakten der Europäischen Gemeinschaft zuwiderhandelt, die inhaltlich einem in</w:t>
      </w:r>
    </w:p>
    <w:p>
      <w:pPr>
        <w:ind w:left="780"/>
      </w:pPr>
      <w:r>
        <w:t xml:space="preserve">a) Nummer 1 oder</w:t>
      </w:r>
    </w:p>
    <w:p>
      <w:pPr>
        <w:ind w:left="780"/>
      </w:pPr>
      <w:r>
        <w:t xml:space="preserve">b) Nummer 2, 3 oder 3b</w:t>
      </w:r>
    </w:p>
    <w:p>
      <w:pPr>
        <w:ind w:left="420"/>
      </w:pPr>
      <w:r>
        <w:t xml:space="preserve">bezeichneten Gebot oder Verbot entspricht, soweit eine Rechtsverordnung nach § 57 Abs. 1 Nr. 11 für einen bestimmten Tatbestand auf diese Bußgeldvorschrift verweist.</w:t>
      </w:r>
    </w:p>
    <w:p>
      <w:r>
        <w:t xml:space="preserve">(2) Die Ordnungswidrigkeit kann in den Fällen des Absatzes 1 Nr. 1 und 5 Buchstabe a mit einer Geldbuße bis zu zwanzigtausend Euro, in den übrigen Fällen mit einer Geldbuße bis zu zehntausend Euro geahndet werden.</w:t>
      </w:r>
    </w:p>
    <w:p>
      <w:r>
        <w:t xml:space="preserve">(3) Verwaltungsbehörde im Sinne des § 36 Abs. 1 Nr. 1 des Gesetzes über Ordnungswidrigkeiten ist die Genehmigungsbehörde oder die von der Landesregierung bestimmte Behörde. Die Landesregierung kann die Ermächtigung auf die zuständige oberste Landesbehörde übertragen. In den Fällen des § 52 Abs. 3 Satz 2 ist Verwaltungsbehörde im Sinne des § 36 Abs. 1 Nr. 1 des Gesetzes über Ordnungswidrigkeiten das Bundesamt für Logistik und Mobilität.</w:t>
      </w:r>
    </w:p>
    <w:p>
      <w:r>
        <w:t xml:space="preserve">(4) In den Fällen des Absatzes 1 kann die Ordnungswidrigkeit auf der Grundlage und nach Maßgabe internationaler Übereinkünfte auch dann geahndet werden, wenn sie im Bereich gemeinsamer Grenzabfertigungsanlagen außerhalb des räumlichen Geltungsbereiches dieses Gesetzes begangen wird.</w:t>
      </w:r>
    </w:p>
    <w:p>
      <w:r>
        <w:rPr>
          <w:color w:val="555555"/>
          <w:sz w:val="17"/>
        </w:rPr>
        <w:t xml:space="preserve">Zitiervorschlag: § 61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