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PBefG — Rechtsverordnungen</w:t>
      </w:r>
    </w:p>
    <w:p>
      <w:r>
        <w:rPr>
          <w:color w:val="555555"/>
          <w:sz w:val="18"/>
        </w:rPr>
        <w:t xml:space="preserve">Personenbeförderungsgesetz</w:t>
      </w:r>
    </w:p>
    <w:p>
      <w:r>
        <w:rPr>
          <w:color w:val="555555"/>
          <w:sz w:val="18"/>
        </w:rPr>
        <w:t xml:space="preserve">Stand: 14.03.2026 (konsolidierte Textfassung, kein amtliches Inkrafttretensdatum)</w:t>
      </w:r>
    </w:p>
    <w:p>
      <w:r>
        <w:t xml:space="preserve">(1) Das Bundesministerium für Verkehr erläßt mit Zustimmung des Bundesrates durch Rechtsverordnung die zur Durchführung dieses Gesetzes, internationaler Abkommen sowie der Verordnungen des Rates oder der Kommission der Europäischen Gemeinschaften erforderlichen Vorschriften</w:t>
      </w:r>
    </w:p>
    <w:p>
      <w:pPr>
        <w:ind w:left="420"/>
      </w:pPr>
      <w:r>
        <w:t xml:space="preserve">1. über Straßenbahnen und Obusse; diese regeln</w:t>
      </w:r>
    </w:p>
    <w:p>
      <w:pPr>
        <w:ind w:left="780"/>
      </w:pPr>
      <w:r>
        <w:t xml:space="preserve">a) Anforderungen an den Bau und die Einrichtungen der Betriebsanlagen und Fahrzeuge sowie deren Betriebsweise,</w:t>
      </w:r>
    </w:p>
    <w:p>
      <w:pPr>
        <w:ind w:left="780"/>
      </w:pPr>
      <w:r>
        <w:t xml:space="preserve">b) die Sicherheit und Ordnung des Betriebs sowie den Schutz der Betriebsanlagen und Fahrzeuge gegen Schäden und Störungen;</w:t>
      </w:r>
    </w:p>
    <w:p>
      <w:pPr>
        <w:ind w:left="420"/>
      </w:pPr>
      <w:r>
        <w:t xml:space="preserve">2. über den Betrieb von Kraftfahrunternehmen im Personenverkehr; diese regeln</w:t>
      </w:r>
    </w:p>
    <w:p>
      <w:pPr>
        <w:ind w:left="780"/>
      </w:pPr>
      <w:r>
        <w:t xml:space="preserve">a) Anforderungen an den Bau und die Einrichtungen der in diesen Unternehmen verwendeten Fahrzeuge,</w:t>
      </w:r>
    </w:p>
    <w:p>
      <w:pPr>
        <w:ind w:left="780"/>
      </w:pPr>
      <w:r>
        <w:t xml:space="preserve">b) die Sicherheit und Ordnung des Betriebs;</w:t>
      </w:r>
    </w:p>
    <w:p>
      <w:pPr>
        <w:ind w:left="420"/>
      </w:pPr>
      <w:r>
        <w:t xml:space="preserve">3. über Anforderungen an die Befähigung, Eignung und das Verhalten der Betriebsbediensteten und über die Bestellung, Bestätigung und Prüfung von Betriebsleitern sowie deren Aufgaben und Befugnisse;</w:t>
      </w:r>
    </w:p>
    <w:p>
      <w:pPr>
        <w:ind w:left="420"/>
      </w:pPr>
      <w:r>
        <w:t xml:space="preserve">4. über den Nachweis der Genehmigungsvoraussetzungen nach § 13 Absatz 1 oder 1a; darin können insbesondere Vorschriften enthalten sein über die Voraussetzungen, unter denen ein Betrieb als leistungsfähig anzusehen ist, über die Zuverlässigkeit des Unternehmers oder der für die Führung der Geschäfte bestellten Personen sowie über die Voraussetzungen, unter denen eine Tätigkeit angemessen ist, über den Prüfungsstoff, den Prüfungsausschuß und das Prüfungsverfahren; außerdem kann bestimmt werden, in welchen Fällen Unternehmer, Inhaber von Abschlußzeugnissen für staatlich anerkannte Ausbildungsberufe und Absolventen von Hoch- und Fachschulen vom Nachweis der angemessenen Tätigkeit oder der Ablegung einer Prüfung befreit werden;</w:t>
      </w:r>
    </w:p>
    <w:p>
      <w:pPr>
        <w:ind w:left="420"/>
      </w:pPr>
      <w:r>
        <w:t xml:space="preserve">5. über einheitliche Allgemeine Beförderungsbedingungen für den Straßenbahn- und Obusverkehr sowie für den Linienverkehr mit Kraftfahrzeugen und, vorbehaltlich des § 51 Abs. 1 Satz 1, für den Gelegenheitsverkehr mit Kraftfahrzeugen;</w:t>
      </w:r>
    </w:p>
    <w:p>
      <w:pPr>
        <w:ind w:left="420"/>
      </w:pPr>
      <w:r>
        <w:t xml:space="preserve">6. über die Ordnung des grenzüberschreitenden Verkehrs und des Transitverkehrs, die Organisation einschließlich der Klärung konkurrierender Zuständigkeiten, das Verfahren und die Mittel der Kontrolle sowie die Befreiung von Unternehmen mit Betriebssitz im Ausland von der Genehmigungspflicht für den Gelegenheitsverkehr oder von der Einhaltung anderer Ordnungsvorschriften dieses Gesetzes, soweit Gegenseitigkeit verbürgt ist;</w:t>
      </w:r>
    </w:p>
    <w:p>
      <w:pPr>
        <w:ind w:left="420"/>
      </w:pPr>
      <w:r>
        <w:t xml:space="preserve">7. (weggefallen)</w:t>
      </w:r>
    </w:p>
    <w:p>
      <w:pPr>
        <w:ind w:left="420"/>
      </w:pPr>
      <w:r>
        <w:t xml:space="preserve">8. durch die für bestimmte im Rahmen des Gesamtverkehrs nicht besonders ins Gewicht fallende Beförderungsfälle allgemein Befreiung von den Vorschriften dieses Gesetzes erteilt wird;</w:t>
      </w:r>
    </w:p>
    <w:p>
      <w:pPr>
        <w:ind w:left="420"/>
      </w:pPr>
      <w:r>
        <w:t xml:space="preserve">9. die bestimmen, wer Auszubildender im Sinne des § 45a Abs. 1 ist, welche Kostenbestandteile bei der Berechnung des Ausgleichs zu berücksichtigen sind, welches Verfahren für die Gewährung des Ausgleichs anzuwenden ist, welche Angaben der Antrag auf Gewährung des Ausgleichs enthalten muß und wie die Erträge und die Personen-Kilometer zu ermitteln sind;</w:t>
      </w:r>
    </w:p>
    <w:p>
      <w:pPr>
        <w:ind w:left="420"/>
      </w:pPr>
      <w:r>
        <w:t xml:space="preserve">10. die die gebührenpflichtigen Tatbestände im Linienverkehr und im Gelegenheitsverkehr näher bestimmen und feste Gebührensätze oder Rahmensätze festlegen. Die Gebühren dürfen im Linienverkehr 2 500 Euro, im Gelegenheitsverkehr 1 500 Euro nicht überschreiten;</w:t>
      </w:r>
    </w:p>
    <w:p>
      <w:pPr>
        <w:ind w:left="420"/>
      </w:pPr>
      <w:r>
        <w:t xml:space="preserve">11. zur Bezeichnung der Tatbestände, die als Ordnungswidrigkeit nach § 61 Abs. 1 Nr. 5 geahndet werden können;</w:t>
      </w:r>
    </w:p>
    <w:p>
      <w:pPr>
        <w:ind w:left="420"/>
      </w:pPr>
      <w:r>
        <w:t xml:space="preserve">12. über die in § 3a genannte Verpflichtung zur Bereitstellung dort genannter Daten durch den Unternehmer und den Vermittler sowie zu deren Verwendung hinsichtlich</w:t>
      </w:r>
    </w:p>
    <w:p>
      <w:pPr>
        <w:ind w:left="780"/>
      </w:pPr>
      <w:r>
        <w:t xml:space="preserve">a) Art und Inhalt der bereitzustellenden Daten und Datenformate,</w:t>
      </w:r>
    </w:p>
    <w:p>
      <w:pPr>
        <w:ind w:left="780"/>
      </w:pPr>
      <w:r>
        <w:t xml:space="preserve">b) Art und Weise der Erfüllung,</w:t>
      </w:r>
    </w:p>
    <w:p>
      <w:pPr>
        <w:ind w:left="780"/>
      </w:pPr>
      <w:r>
        <w:t xml:space="preserve">c) technischen Anforderungen und Interoperabilität,</w:t>
      </w:r>
    </w:p>
    <w:p>
      <w:pPr>
        <w:ind w:left="780"/>
      </w:pPr>
      <w:r>
        <w:t xml:space="preserve">d) Zulassung von Dritten zur Bereitstellung und Nutzung des Nationalen Zugangspunktes,</w:t>
      </w:r>
    </w:p>
    <w:p>
      <w:pPr>
        <w:ind w:left="780"/>
      </w:pPr>
      <w:r>
        <w:t xml:space="preserve">e) Nutzungsbedingungen und</w:t>
      </w:r>
    </w:p>
    <w:p>
      <w:pPr>
        <w:ind w:left="780"/>
      </w:pPr>
      <w:r>
        <w:t xml:space="preserve">f) Regelungen zur Weiterverwendung der Daten durch Dritte zur Bereitstellung multimodaler Mobilitäts- und Reiseinformationsdienste</w:t>
      </w:r>
    </w:p>
    <w:p>
      <w:pPr>
        <w:ind w:left="420"/>
      </w:pPr>
      <w:r>
        <w:t xml:space="preserve">näher auszugestalten. Hierbei ist das Bundesamt für Sicherheit in der Informationstechnik anzuhören, soweit die Sicherheit informationstechnischer Systeme betroffen ist.</w:t>
      </w:r>
    </w:p>
    <w:p>
      <w:r>
        <w:t xml:space="preserve">(2) Rechtsverordnungen nach Absatz 1 Nr. 1 können auch Vorschriften zum Schutz vor schädlichen Umwelteinwirkungen im Sinne des Bundes-Immissionsschutzgesetzes enthalten; dabei können Immissionsgrenzwerte unter Berücksichtigung der technischen Entwicklung auch für einen Zeitpunkt nach Inkrafttreten der Rechtsverordnung festgesetzt werden. Vorschriften nach Satz 1 werden vom Bundesministerium für Verkehr und vom Bundesministerium für Umwelt, Klimaschutz, Naturschutz und nukleare Sicherheit erlassen. Die Ermächtigung nach Satz 1 gilt nicht, soweit § 43 des Bundes-Immissionsschutzgesetzes Anwendung findet.</w:t>
      </w:r>
    </w:p>
    <w:p>
      <w:r>
        <w:t xml:space="preserve">(3) Rechtsverordnungen nach Absatz 1 Nr. 1 können auch festlegen, wie der Nachweis für die Erfüllung dieser Vorschriften zu erbringen ist, insbesondere welche Prüfungen, Abnahmen, Erlaubnisse, Zustimmungen oder Bescheinigungen erforderlich sind.</w:t>
      </w:r>
    </w:p>
    <w:p>
      <w:r>
        <w:t xml:space="preserve">(4) Soweit es die öffentliche Sicherheit erfordert, können einzelne Vorschriften der nach Absatz 1 Nr. 2 erlassenen Rechtsverordnung auf Beförderungen ausgedehnt werden, die nach § 2 von der Genehmigungspflicht befreit sind oder für die durch die nach Absatz 1 Nr. 8 erlassene Rechtsverordnung Befreiung erteilt wird.</w:t>
      </w:r>
    </w:p>
    <w:p>
      <w:r>
        <w:t xml:space="preserve">(5) (weggefallen)</w:t>
      </w:r>
    </w:p>
    <w:p>
      <w:r>
        <w:t xml:space="preserve">(6) Im Bereich der Gebühren der Landesbehörden übt das Bundesministerium für Verkehr die Ermächtigung nach Absatz 1 Nummer 10 auf der Grundlage eines Antrags oder einer Stellungnahme von mindestens fünf Ländern beim Bundesministerium für Verkehr aus. Der Antrag oder die Stellungnahme sind mit einer Schätzung des Personal- und Sachaufwands zu begründen. Das Bundesministerium für Verkehr kann die übrigen Länder ebenfalls zur Beibringung einer Schätzung des Personal- und Sachaufwands auffordern.</w:t>
      </w:r>
    </w:p>
    <w:p>
      <w:r>
        <w:rPr>
          <w:color w:val="555555"/>
          <w:sz w:val="17"/>
        </w:rPr>
        <w:t xml:space="preserve">Zitiervorschlag: § 57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