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51a PBefG — Beförderungsentgelte im Verkehr mit Mietwagen und im gebündelten Bedarfsverkehr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Genehmigungsbehörde kann zum Schutz der öffentlichen Verkehrsinteressen für den Verkehr mit Mietwagen, der in ihrem Bezirk betrieben wird, tarifbezogene Regelungen, insbesondere Mindestbeförderungsentgelte festlegen.</w:t>
      </w:r>
    </w:p>
    <w:p>
      <w:r>
        <w:t xml:space="preserve">(2) Die Genehmigungsbehörde muss für den gebündelten Bedarfsverkehr Regelungen über Mindestbeförderungsentgelte vorsehen, die einen hinreichenden Abstand zu den Beförderungsentgelten des jeweiligen öffentlichen Personennahverkehrs sicherstellen. Sie kann darüber hinaus Folgendes festlegen:</w:t>
      </w:r>
    </w:p>
    <w:p>
      <w:pPr>
        <w:ind w:left="420"/>
      </w:pPr>
      <w:r>
        <w:t xml:space="preserve">1. Höchstbeförderungsentgelte sowie</w:t>
      </w:r>
    </w:p>
    <w:p>
      <w:pPr>
        <w:ind w:left="420"/>
      </w:pPr>
      <w:r>
        <w:t xml:space="preserve">2. den Zeitpunkt, zu dem die behördlich festgelegten Entgelte zur Anwendung kommen sollen.</w:t>
      </w:r>
    </w:p>
    <w:p>
      <w:r>
        <w:t xml:space="preserve">(3) Die Genehmigungsbehörde hat vor der Festsetzung von Mindestbeförderungsentgelten nach Absatz 2 Satz 1 die jeweiligen Aufgabenträger, die im Bezirk der Genehmigungsbehörde tätig werdenden Unternehmen des gebündelten Bedarfsverkehrs und die Industrie- und Handelskammern anzuhören. Bei der Festsetzung von Höchstbeförderungsentgelten nach Absatz 2 Satz 2 Nummer 1 ist § 39 Absatz 2 entsprechend anzuwenden.</w:t>
      </w:r>
    </w:p>
    <w:p>
      <w:r>
        <w:t xml:space="preserve">(4) Für die Anwendung der Beförderungsentgelte durch den Unternehmer gilt § 39 Absatz 3 entsprechend mit der Maßgabe, dass Mindestbeförderungsentgelte nicht unterschritten und Höchstbeförderungsentgelte nicht überschritten werden dürfen.</w:t>
      </w:r>
    </w:p>
    <w:p>
      <w:r>
        <w:rPr>
          <w:color w:val="555555"/>
          <w:sz w:val="17"/>
        </w:rPr>
        <w:t xml:space="preserve">Zitiervorschlag: § 51a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https://recht.nulegal.eu/gesetze/PBefG/51a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