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PBefG — Beförderungsentgelte und -bedingungen im Taxenverkehr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Landesregierung wird ermächtigt, durch Rechtsverordnung Beförderungsentgelte und -bedingungen für den Taxenverkehr festzusetzen. Die Rechtsverordnung kann insbesondere Regelungen vorsehen über</w:t>
      </w:r>
    </w:p>
    <w:p>
      <w:pPr>
        <w:ind w:left="420"/>
      </w:pPr>
      <w:r>
        <w:t xml:space="preserve">1. Grundpreise, Kilometerpreise und Zeitpreise sowie Festpreise für bestimmte Wegstrecken,</w:t>
      </w:r>
    </w:p>
    <w:p>
      <w:pPr>
        <w:ind w:left="420"/>
      </w:pPr>
      <w:r>
        <w:t xml:space="preserve">2. Zuschläge,</w:t>
      </w:r>
    </w:p>
    <w:p>
      <w:pPr>
        <w:ind w:left="420"/>
      </w:pPr>
      <w:r>
        <w:t xml:space="preserve">3. Vorauszahlungen,</w:t>
      </w:r>
    </w:p>
    <w:p>
      <w:pPr>
        <w:ind w:left="420"/>
      </w:pPr>
      <w:r>
        <w:t xml:space="preserve">4. die Abrechnung,</w:t>
      </w:r>
    </w:p>
    <w:p>
      <w:pPr>
        <w:ind w:left="420"/>
      </w:pPr>
      <w:r>
        <w:t xml:space="preserve">5. die Zahlungsweise und</w:t>
      </w:r>
    </w:p>
    <w:p>
      <w:pPr>
        <w:ind w:left="420"/>
      </w:pPr>
      <w:r>
        <w:t xml:space="preserve">6. die Zulässigkeit von Sondervereinbarungen für den Pflichtfahrbereich.</w:t>
      </w:r>
    </w:p>
    <w:p>
      <w:r>
        <w:t xml:space="preserve">Die Landesregierung kann die Ermächtigung durch Rechtsverordnung übertragen. Für Fahrten auf vorherige Bestellung können Festpreise bestimmt oder Regelungen über Mindest- und Höchstpreise getroffen werden, innerhalb derer das Beförderungsentgelt vor Fahrtantritt frei zu vereinbaren ist.</w:t>
      </w:r>
    </w:p>
    <w:p>
      <w:r>
        <w:t xml:space="preserve">(2) Sondervereinbarungen für den Pflichtfahrbereich sind nur zulässig, wenn</w:t>
      </w:r>
    </w:p>
    <w:p>
      <w:pPr>
        <w:ind w:left="420"/>
      </w:pPr>
      <w:r>
        <w:t xml:space="preserve">1. ein bestimmter Zeitraum, eine Mindestfahrtenzahl oder ein Mindestumsatz im Monat festgelegt wird,</w:t>
      </w:r>
    </w:p>
    <w:p>
      <w:pPr>
        <w:ind w:left="420"/>
      </w:pPr>
      <w:r>
        <w:t xml:space="preserve">2. eine Ordnung des Verkehrsmarktes nicht gestört wird,</w:t>
      </w:r>
    </w:p>
    <w:p>
      <w:pPr>
        <w:ind w:left="420"/>
      </w:pPr>
      <w:r>
        <w:t xml:space="preserve">3. die Beförderungsentgelte und -bedingungen schriftlich vereinbart sind und</w:t>
      </w:r>
    </w:p>
    <w:p>
      <w:pPr>
        <w:ind w:left="420"/>
      </w:pPr>
      <w:r>
        <w:t xml:space="preserve">4. in der Rechtsverordnung eine Pflicht zur Genehmigung oder Anzeige vorgesehen ist.</w:t>
      </w:r>
    </w:p>
    <w:p>
      <w:r>
        <w:t xml:space="preserve">(3) Bei der Festsetzung der Beförderungsentgelte und -bedingungen sind § 14 Abs. 2 und 3 sowie § 39 Abs. 2 entsprechend anzuwenden.</w:t>
      </w:r>
    </w:p>
    <w:p>
      <w:r>
        <w:t xml:space="preserve">(4) Die ermächtigten Stellen können für einen Bereich, der über den Zuständigkeitsbereich einer die Beförderungsentgelte und -bedingungen festsetzenden Stelle hinausgeht, in gegenseitigem Einvernehmen einheitliche Beförderungsentgelte und -bedingungen vereinbaren.</w:t>
      </w:r>
    </w:p>
    <w:p>
      <w:r>
        <w:t xml:space="preserve">(5) Für die Anwendung der Beförderungsentgelte und -bedingungen gilt § 39 Abs. 3 entsprechend.</w:t>
      </w:r>
    </w:p>
    <w:p>
      <w:r>
        <w:rPr>
          <w:color w:val="555555"/>
          <w:sz w:val="17"/>
        </w:rPr>
        <w:t xml:space="preserve">Zitiervorschlag: § 51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