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PBefG — Verkehr mit Taxen</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Verkehr mit Taxen ist die Beförderung von Personen mit Personenkraftwagen, die der Unternehmer an behördlich zugelassenen Stellen bereithält und mit denen er Fahrten zu einem vom Fahrgast bestimmten Ziel ausführt. Der Unternehmer kann Beförderungsaufträge auch während einer Fahrt oder am Betriebssitz entgegennehmen.</w:t>
      </w:r>
    </w:p>
    <w:p>
      <w:r>
        <w:t xml:space="preserve">(2) Taxen dürfen nur an behördlich zugelassenen Stellen und in der Gemeinde bereitgehalten werden, in der der Unternehmer seinen Betriebssitz hat. Fahrten auf vorherige Bestellung dürfen auch von anderen Gemeinden aus durchgeführt werden. Die Genehmigungsbehörde kann im Einvernehmen mit anderen Genehmigungsbehörden das Bereithalten an behördlich zugelassenen Stellen außerhalb der Betriebssitzgemeinde gestatten und einen größeren Bezirk festsetzen.</w:t>
      </w:r>
    </w:p>
    <w:p>
      <w:r>
        <w:t xml:space="preserve">(3) Die Landesregierung wird ermächtigt, durch Rechtsverordnung den Umfang der Betriebspflicht, die Ordnung auf Taxenständen sowie Einzelheiten des Dienstbetriebs zu regeln. Sie kann die Ermächtigung durch Rechtsverordnung übertragen. In der Rechtsverordnung können insbesondere Regelungen getroffen werden über</w:t>
      </w:r>
    </w:p>
    <w:p>
      <w:pPr>
        <w:ind w:left="420"/>
      </w:pPr>
      <w:r>
        <w:t xml:space="preserve">1. das Bereithalten von Taxen in Sonderfällen einschließlich eines Bereitschaftsdienstes,</w:t>
      </w:r>
    </w:p>
    <w:p>
      <w:pPr>
        <w:ind w:left="420"/>
      </w:pPr>
      <w:r>
        <w:t xml:space="preserve">2. die Annahme und Ausführung von fernmündlichen Fahraufträgen,</w:t>
      </w:r>
    </w:p>
    <w:p>
      <w:pPr>
        <w:ind w:left="420"/>
      </w:pPr>
      <w:r>
        <w:t xml:space="preserve">3. den Fahr- und Funkbetrieb,</w:t>
      </w:r>
    </w:p>
    <w:p>
      <w:pPr>
        <w:ind w:left="420"/>
      </w:pPr>
      <w:r>
        <w:t xml:space="preserve">4. die Behindertenbeförderung und</w:t>
      </w:r>
    </w:p>
    <w:p>
      <w:pPr>
        <w:ind w:left="420"/>
      </w:pPr>
      <w:r>
        <w:t xml:space="preserve">5. die Krankenbeförderung, soweit es sich nicht um Beförderungen nach § 1 Abs. 2 Nr. 2 handelt.</w:t>
      </w:r>
    </w:p>
    <w:p>
      <w:r>
        <w:t xml:space="preserve">(4) Die Beförderungspflicht besteht nur für Fahrten innerhalb des Geltungsbereichs der nach § 51 Abs. 1 Satz 1 und 2 und Abs. 2 Satz 1 festgesetzten Beförderungsentgelte (Pflichtfahrbereich).</w:t>
      </w:r>
    </w:p>
    <w:p>
      <w:r>
        <w:t xml:space="preserve">(5) Die Vermietung von Taxen an Selbstfahrer ist verboten.</w:t>
      </w:r>
    </w:p>
    <w:p>
      <w:r>
        <w:rPr>
          <w:color w:val="555555"/>
          <w:sz w:val="17"/>
        </w:rPr>
        <w:t xml:space="preserve">Zitiervorschlag: § 47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