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45 PBefG — Sonstige Vorschriften</w:t>
      </w:r>
    </w:p>
    <w:p>
      <w:r>
        <w:rPr>
          <w:color w:val="555555"/>
          <w:sz w:val="18"/>
        </w:rPr>
        <w:t xml:space="preserve">Personenbeförderungsgesetz</w:t>
      </w:r>
    </w:p>
    <w:p>
      <w:r>
        <w:rPr>
          <w:color w:val="555555"/>
          <w:sz w:val="18"/>
        </w:rPr>
        <w:t xml:space="preserve">Stand: 01.08.2021 (konsolidierte Textfassung, kein amtliches Inkrafttretensdatum)</w:t>
      </w:r>
    </w:p>
    <w:p>
      <w:r>
        <w:t xml:space="preserve">(1) Auf den Linienverkehr mit Kraftfahrzeugen ist § 32, soweit diese Vorschrift sich auf das Anbringen oder Errichten von Haltestellenzeichen bezieht, entsprechend anzuwenden; über die Verpflichtung zur Duldung entscheidet die Genehmigungsbehörde ohne Planfeststellungsverfahren.</w:t>
      </w:r>
    </w:p>
    <w:p>
      <w:r>
        <w:t xml:space="preserve">(2) Auf den Linienverkehr mit Kraftfahrzeugen sind die §§ 39 und 40 mit folgenden Maßgaben anzuwenden:</w:t>
      </w:r>
    </w:p>
    <w:p>
      <w:pPr>
        <w:ind w:left="420"/>
      </w:pPr>
      <w:r>
        <w:t xml:space="preserve">1. § 39 Absatz 1 bis 5 und 7 gilt nicht für den Personenfernverkehr,</w:t>
      </w:r>
    </w:p>
    <w:p>
      <w:pPr>
        <w:ind w:left="420"/>
      </w:pPr>
      <w:r>
        <w:t xml:space="preserve">2. § 40 Absatz 3 gilt nicht für den Personenfernverkehr; abweichend von § 40 Absatz 2 Satz 1 genügt bei Fahrplanänderungen im Personenfernverkehr eine Anzeige bei der Genehmigungsbehörde; sofern die Genehmigungsbehörde den angezeigten Fahrplanänderungen innerhalb von einem Monat widerspricht, dürfen diese nicht in Kraft treten,</w:t>
      </w:r>
    </w:p>
    <w:p>
      <w:pPr>
        <w:ind w:left="420"/>
      </w:pPr>
      <w:r>
        <w:t xml:space="preserve">3. § 40 gilt nicht für den Linienbedarfsverkehr.</w:t>
      </w:r>
    </w:p>
    <w:p>
      <w:r>
        <w:t xml:space="preserve">(3) Die Genehmigungsbehörde kann bei den Verkehrsformen nach § 43 auf die Einhaltung der Vorschriften über die Betriebspflicht (§ 21), die Beförderungspflicht (§ 22), die Beförderungsentgelte und -bedingungen (§ 39) sowie über die Fahrpläne (§ 40) ganz oder teilweise verzichten. Bei den Sonderformen des Linienverkehrs (§ 43) ist § 13 Absatz 2 Satz 1 Nummer 2 und 3 so anzuwenden, daß insbesondere den Belangen von Berufstätigen und Arbeitgebern sowie von Schülern und Lehranstalten Rechnung getragen wird.</w:t>
      </w:r>
    </w:p>
    <w:p>
      <w:r>
        <w:rPr>
          <w:color w:val="555555"/>
          <w:sz w:val="17"/>
        </w:rPr>
        <w:t xml:space="preserve">Zitiervorschlag: § 45 PBefG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https://recht.nulegal.eu/gesetze/PBefG/45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