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PBefG — Sonderformen des Linienverkehrs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16.07.2025 (konsolidierte Textfassung, kein amtliches Inkrafttretensdatum)</w:t>
      </w:r>
    </w:p>
    <w:p>
      <w:r>
        <w:t xml:space="preserve">Als Linienverkehr gilt, unabhängig davon, wer den Ablauf der Fahrten bestimmt, auch der Verkehr, der unter Ausschluß anderer Fahrgäste der regelmäßigen Beförderung von</w:t>
      </w:r>
    </w:p>
    <w:p>
      <w:pPr>
        <w:ind w:left="420"/>
      </w:pPr>
      <w:r>
        <w:t xml:space="preserve">1. Berufstätigen zwischen Wohnung und Arbeitsstelle (Berufsverkehr),</w:t>
      </w:r>
    </w:p>
    <w:p>
      <w:pPr>
        <w:ind w:left="420"/>
      </w:pPr>
      <w:r>
        <w:t xml:space="preserve">2. Schülern zwischen Wohnung und Lehranstalt (Schülerfahrten),</w:t>
      </w:r>
    </w:p>
    <w:p>
      <w:pPr>
        <w:ind w:left="420"/>
      </w:pPr>
      <w:r>
        <w:t xml:space="preserve">3. Personen zum Besuch von Märkten (Marktfahrten),</w:t>
      </w:r>
    </w:p>
    <w:p>
      <w:pPr>
        <w:ind w:left="420"/>
      </w:pPr>
      <w:r>
        <w:t xml:space="preserve">4. Theaterbesuchern</w:t>
      </w:r>
    </w:p>
    <w:p>
      <w:r>
        <w:t xml:space="preserve">dient. Die Regelmäßigkeit wird nicht dadurch ausgeschlossen, daß der Ablauf der Fahrten wechselnden Bedürfnissen der Beteiligten angepaßt wird.</w:t>
      </w:r>
    </w:p>
    <w:p>
      <w:r>
        <w:rPr>
          <w:color w:val="555555"/>
          <w:sz w:val="17"/>
        </w:rPr>
        <w:t xml:space="preserve">Zitiervorschlag: § 43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