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42a PBefG — Personenfernverkehr</w:t>
      </w:r>
    </w:p>
    <w:p>
      <w:r>
        <w:rPr>
          <w:color w:val="555555"/>
          <w:sz w:val="18"/>
        </w:rPr>
        <w:t xml:space="preserve">Personenbeförderungsgesetz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Personenfernverkehr ist der Linienverkehr mit Kraftfahrzeugen, der nicht zum öffentlichen Personennahverkehr im Sinne des § 8 Absatz 1 und nicht zu den Sonderformen des Linienverkehrs nach § 43 oder zum Linienbedarfsverkehr nach § 44 gehört. Die Beförderung von Personen zwischen zwei Haltestellen ist unzulässig, wenn</w:t>
      </w:r>
    </w:p>
    <w:p>
      <w:pPr>
        <w:ind w:left="420"/>
      </w:pPr>
      <w:r>
        <w:t xml:space="preserve">1. der Abstand zwischen diesen Haltestellen nicht mehr als 50 km beträgt oder</w:t>
      </w:r>
    </w:p>
    <w:p>
      <w:pPr>
        <w:ind w:left="420"/>
      </w:pPr>
      <w:r>
        <w:t xml:space="preserve">2. zwischen diesen Haltestellen Schienenpersonennahverkehr mit einer Reisezeit bis zu einer Stunde betrieben wird.</w:t>
      </w:r>
    </w:p>
    <w:p>
      <w:r>
        <w:t xml:space="preserve">In der Genehmigung sind auf Antrag für einzelne Teilstrecken Ausnahmen zu gewähren, wenn</w:t>
      </w:r>
    </w:p>
    <w:p>
      <w:pPr>
        <w:ind w:left="420"/>
      </w:pPr>
      <w:r>
        <w:t xml:space="preserve">1. kein ausreichendes Nahverkehrsangebot besteht oder</w:t>
      </w:r>
    </w:p>
    <w:p>
      <w:pPr>
        <w:ind w:left="420"/>
      </w:pPr>
      <w:r>
        <w:t xml:space="preserve">2. das Fahrgastpotenzial der vorhandenen Verkehrsangebote nur unerheblich beeinträchtigt wird.</w:t>
      </w:r>
    </w:p>
    <w:p>
      <w:r>
        <w:rPr>
          <w:color w:val="555555"/>
          <w:sz w:val="17"/>
        </w:rPr>
        <w:t xml:space="preserve">Zitiervorschlag: § 42a PBefG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https://recht.nulegal.eu/gesetze/PBefG/42a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