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PBefG — Entsprechend anwendbare Vorschriften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Vorschriften der §§ 28 bis 30a und der §§ 32 bis 37 sind auf die Errichtung von Bau- und Betriebsanlagen für den Obusverkehr entsprechend anzuwenden.</w:t>
      </w:r>
    </w:p>
    <w:p>
      <w:r>
        <w:t xml:space="preserve">(2) Zur Errichtung von Bau- und Betriebsanlagen auf öffentlichen Straßen bedarf der Unternehmer der Zustimmung des Trägers der Straßenbaulast; § 31 Abs. 1, 2, 4 bis 6 ist entsprechend anzuwenden.</w:t>
      </w:r>
    </w:p>
    <w:p>
      <w:r>
        <w:t xml:space="preserve">(3) Im übrigen sind auf den Obusverkehr die Vorschriften der §§ 39 und 40 entsprechend anzuwenden.</w:t>
      </w:r>
    </w:p>
    <w:p>
      <w:r>
        <w:rPr>
          <w:color w:val="555555"/>
          <w:sz w:val="17"/>
        </w:rPr>
        <w:t xml:space="preserve">Zitiervorschlag: § 41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