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PBefG — Straßenbahnen, Obusse, Kraftfahrzeuge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Straßenbahnen sind Schienenbahnen, die</w:t>
      </w:r>
    </w:p>
    <w:p>
      <w:pPr>
        <w:ind w:left="420"/>
      </w:pPr>
      <w:r>
        <w:t xml:space="preserve">1. den Verkehrsraum öffentlicher Straßen benutzen und sich mit ihren baulichen und betrieblichen Einrichtungen sowie in ihrer Betriebsweise der Eigenart des Straßenverkehrs anpassen oder</w:t>
      </w:r>
    </w:p>
    <w:p>
      <w:pPr>
        <w:ind w:left="420"/>
      </w:pPr>
      <w:r>
        <w:t xml:space="preserve">2. einen besonderen Bahnkörper haben und in der Betriebsweise den unter Nummer 1 bezeichneten Bahnen gleichen oder ähneln</w:t>
      </w:r>
    </w:p>
    <w:p>
      <w:r>
        <w:t xml:space="preserve">und ausschließlich oder überwiegend der Beförderung von Personen im Orts- oder Nachbarschaftsbereich dienen.</w:t>
      </w:r>
    </w:p>
    <w:p>
      <w:r>
        <w:t xml:space="preserve">(2) Als Straßenbahnen gelten auch Bahnen, die als Hoch- und Untergrundbahnen, Schwebebahnen oder ähnliche Bahnen besonderer Bauart angelegt sind oder angelegt werden, ausschließlich oder überwiegend der Beförderung von Personen im Orts- oder Nachbarschaftsbereich dienen und nicht Bergbahnen oder Seilbahnen sind.</w:t>
      </w:r>
    </w:p>
    <w:p>
      <w:r>
        <w:t xml:space="preserve">(3) Obusse im Sinne dieses Gesetzes sind elektrisch angetriebene, nicht an Schienen gebundene Straßenfahrzeuge, die ihre Antriebsenergie einer Fahrleitung entnehmen.</w:t>
      </w:r>
    </w:p>
    <w:p>
      <w:r>
        <w:t xml:space="preserve">(4) Kraftfahrzeuge im Sinne dieses Gesetzes sind Straßenfahrzeuge, die durch eigene Maschinenkraft bewegt werden, ohne an Schienen oder eine Fahrleitung gebunden zu sein, und zwar sind</w:t>
      </w:r>
    </w:p>
    <w:p>
      <w:pPr>
        <w:ind w:left="420"/>
      </w:pPr>
      <w:r>
        <w:t xml:space="preserve">1. Personenkraftwagen: Kraftfahrzeuge, die nach ihrer Bauart und Ausstattung zur Beförderung von nicht mehr als neun Personen (einschließlich Führer) geeignet und bestimmt sind,</w:t>
      </w:r>
    </w:p>
    <w:p>
      <w:pPr>
        <w:ind w:left="420"/>
      </w:pPr>
      <w:r>
        <w:t xml:space="preserve">2. Kraftomnibusse: Kraftfahrzeuge, die nach ihrer Bauart und Ausstattung zur Beförderung von mehr als neun Personen (einschließlich Führer) geeignet und bestimmt sind,</w:t>
      </w:r>
    </w:p>
    <w:p>
      <w:pPr>
        <w:ind w:left="420"/>
      </w:pPr>
      <w:r>
        <w:t xml:space="preserve">3. Lastkraftwagen: Kraftfahrzeuge, die nach ihrer Bauart und Einrichtung zur Beförderung von Gütern bestimmt sind.</w:t>
      </w:r>
    </w:p>
    <w:p>
      <w:r>
        <w:t xml:space="preserve">(5) Anhänger, die von den in Absatz 1 bis 4 genannten Fahrzeugen zur Personenbeförderung mitgeführt werden, sind den sie bewegenden Fahrzeugen gleichgestellt.</w:t>
      </w:r>
    </w:p>
    <w:p>
      <w:r>
        <w:t xml:space="preserve">(6) Krankenkraftwagen im Sinne dieses Gesetzes sind Fahrzeuge, die für Krankentransport oder Notfallrettung besonders eingerichtet und nach dem Fahrzeugschein als Krankenkraftwagen anerkannt sind.</w:t>
      </w:r>
    </w:p>
    <w:p>
      <w:r>
        <w:rPr>
          <w:color w:val="555555"/>
          <w:sz w:val="17"/>
        </w:rPr>
        <w:t xml:space="preserve">Zitiervorschlag: § 4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