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3c PBefG — Datenlöschung</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(1) Der Nationale Zugangspunkt und Behörden nach § 8 Absatz 3 sowie §§ 11 und 29 haben personenbezogene Daten unverzüglich zu löschen, wenn sie für die in § 3b Absatz 1 oder 3 genannten Zwecke nicht mehr erforderlich sind, spätestens jedoch</w:t>
      </w:r>
    </w:p>
    <w:p>
      <w:pPr>
        <w:ind w:left="420"/>
      </w:pPr>
      <w:r>
        <w:t xml:space="preserve">1. sobald der jeweilige Empfänger</w:t>
      </w:r>
    </w:p>
    <w:p>
      <w:pPr>
        <w:ind w:left="780"/>
      </w:pPr>
      <w:r>
        <w:t xml:space="preserve">a) im Fall von Adressdaten des Unternehmers Kenntnis über den Widerruf, die Rücknahme oder das Erlöschen der Genehmigung oder über den Ablauf der Geltungsdauer erlangt hat,</w:t>
      </w:r>
    </w:p>
    <w:p>
      <w:pPr>
        <w:ind w:left="780"/>
      </w:pPr>
      <w:r>
        <w:t xml:space="preserve">b) im Fall von Adressdaten des Vermittlers Kenntnis über die Geschäftsaufgabe erlangt hat und</w:t>
      </w:r>
    </w:p>
    <w:p>
      <w:pPr>
        <w:ind w:left="420"/>
      </w:pPr>
      <w:r>
        <w:t xml:space="preserve">2. im Fall von Daten nach § 3a Absatz 1 Nummer 2 Buchstabe b, soweit die Daten nicht durch Überschreiben gelöscht wurden, drei Monate nach deren Übermittlung.</w:t>
      </w:r>
    </w:p>
    <w:p>
      <w:r>
        <w:t xml:space="preserve">Der Nationale Zugangspunkt hat dynamische Daten nach § 3a Absatz 1 Nummer 2 Buchstabe b, bei denen er davon Kenntnis erlangt, dass auf Grund der besonderen Umstände des Einzelfalls die Gefahr besteht, dass mit diesen Daten Bewegungen und Standorte individualisierbarer Personen nachvollzogen werden können und diese Personen nicht in die Übermittlung eingewilligt haben, unverzüglich zu löschen.</w:t>
      </w:r>
    </w:p>
    <w:p>
      <w:r>
        <w:t xml:space="preserve">(2) Erbringer bedarfsgesteuerter Mobilitätsdienstleistungen oder multimodaler Reiseinformationsdienste für Endnutzer nach Artikel 2 Nummer 12 der Delegierten Verordnung (EU) 2017/1926 haben personenbezogene Daten unverzüglich zu löschen, wenn sie für die in § 3b Absatz 4 genannten Zwecke nicht mehr erforderlich sind, spätestens jedoch wenn</w:t>
      </w:r>
    </w:p>
    <w:p>
      <w:pPr>
        <w:ind w:left="420"/>
      </w:pPr>
      <w:r>
        <w:t xml:space="preserve">1. im Fall von Adressdaten des Unternehmers Kenntnis über den Widerruf, die Rücknahme oder das Erlöschen der Genehmigung oder über den Ablauf der Geltungsdauer erlangt wurde,</w:t>
      </w:r>
    </w:p>
    <w:p>
      <w:pPr>
        <w:ind w:left="420"/>
      </w:pPr>
      <w:r>
        <w:t xml:space="preserve">2. im Fall von Adressdaten des Vermittlers Kenntnis über die Geschäftsaufgabe erlangt wurde,</w:t>
      </w:r>
    </w:p>
    <w:p>
      <w:pPr>
        <w:ind w:left="420"/>
      </w:pPr>
      <w:r>
        <w:t xml:space="preserve">3. im Fall von Daten nach § 3a Absatz 1 Nummer 2 Buchstabe b eine Reiseinformation an Endnutzer übermittelt wurde oder</w:t>
      </w:r>
    </w:p>
    <w:p>
      <w:pPr>
        <w:ind w:left="420"/>
      </w:pPr>
      <w:r>
        <w:t xml:space="preserve">4. ihnen durch den Nationalen Zugangspunkt die Zulassung zur Datenverarbeitung entzogen wurde.</w:t>
      </w:r>
    </w:p>
    <w:p>
      <w:r>
        <w:t xml:space="preserve">(3) Das Bundesministerium für Verkehr hat personenbezogene Daten zu löschen, wenn diese nicht mehr für die in § 3b Absatz 5 genannten Zwecke erforderlich sind, spätestens jedoch</w:t>
      </w:r>
    </w:p>
    <w:p>
      <w:pPr>
        <w:ind w:left="420"/>
      </w:pPr>
      <w:r>
        <w:t xml:space="preserve">1. ein Jahr nach Erfüllung der jeweiligen Berichtspflicht oder</w:t>
      </w:r>
    </w:p>
    <w:p>
      <w:pPr>
        <w:ind w:left="420"/>
      </w:pPr>
      <w:r>
        <w:t xml:space="preserve">2. ein Jahr nach Inkrafttreten einer Maßnahme nach § 4 des Intelligente Verkehrssysteme Gesetzes.</w:t>
      </w:r>
    </w:p>
    <w:p>
      <w:r>
        <w:t xml:space="preserve">(4) Das Statistische Bundesamt und die Landesämter für Statistik haben personenbezogene Daten zu löschen, wenn diese nicht mehr für die in § 3b Absatz 6 genannten Zwecke erforderlich sind, spätestens jedoch ein Jahr nach Erstellung der jeweiligen Statistik.</w:t>
      </w:r>
    </w:p>
    <w:p>
      <w:r>
        <w:rPr>
          <w:color w:val="555555"/>
          <w:sz w:val="17"/>
        </w:rPr>
        <w:t xml:space="preserve">Zitiervorschlag: § 3c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