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36a PBefG — Besondere Pflichten im Interesse der Unterhaltung</w:t>
      </w:r>
    </w:p>
    <w:p>
      <w:r>
        <w:rPr>
          <w:color w:val="555555"/>
          <w:sz w:val="18"/>
        </w:rPr>
        <w:t xml:space="preserve">Personenbeförderungsgesetz</w:t>
      </w:r>
    </w:p>
    <w:p>
      <w:r>
        <w:rPr>
          <w:color w:val="555555"/>
          <w:sz w:val="18"/>
        </w:rPr>
        <w:t xml:space="preserve">Stand: 11.12.2020 (konsolidierte Textfassung, kein amtliches Inkrafttretensdatum)</w:t>
      </w:r>
    </w:p>
    <w:p>
      <w:r>
        <w:t xml:space="preserve">(1) Soweit es zur Unterhaltung einer Betriebsanlage für Straßenbahnen erforderlich ist, haben Eigentümer und sonstige Nutzungsberechtigte zu dulden, dass Beauftragte des Unternehmers die Grundstücke betreten oder vorübergehend benutzen. Das Grundrecht auf Unverletzlichkeit der Wohnung (Artikel 13 Absatz 1 des Grundgesetzes) wird insoweit eingeschränkt. Die Arbeiten müssen dem Eigentümer und sonstigen Nutzungsberechtigten angekündigt werden.</w:t>
      </w:r>
    </w:p>
    <w:p>
      <w:r>
        <w:t xml:space="preserve">(2) Entstehen durch Handlungen nach Absatz 1 Schäden, hat der Geschädigte Anspruch auf Schadensersatz.</w:t>
      </w:r>
    </w:p>
    <w:p>
      <w:r>
        <w:t xml:space="preserve">(3) Der Inhaber einer Sondernutzungserlaubnis hat, ohne Anspruch auf Entschädigung, zu dulden, dass die Ausübung seines Rechts durch Arbeiten zur Unterhaltung vorübergehend behindert oder unterbrochen wird. Auf die Interessen des Inhabers einer Sondernutzungserlaubnis ist Rücksicht zu nehmen.</w:t>
      </w:r>
    </w:p>
    <w:p>
      <w:r>
        <w:rPr>
          <w:color w:val="555555"/>
          <w:sz w:val="17"/>
        </w:rPr>
        <w:t xml:space="preserve">Zitiervorschlag: § 36a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https://recht.nulegal.eu/gesetze/PBefG/36a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