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PBefG — Bau- und Unterhaltungspflicht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ist verpflichtet, die ihm genehmigten Betriebsanlagen für Straßenbahnen zu bauen und während der Geltungsdauer der Genehmigung den öffentlichen Verkehrsinteressen und dem Stand der Technik entsprechend zu unterhalten.</w:t>
      </w:r>
    </w:p>
    <w:p>
      <w:r>
        <w:t xml:space="preserve">(2) Die Genehmigungsbehörde kann dem Unternehmer eine Frist setzen, innerhalb derer die Betriebsanlagen zu bauen sind.</w:t>
      </w:r>
    </w:p>
    <w:p>
      <w:r>
        <w:rPr>
          <w:color w:val="555555"/>
          <w:sz w:val="17"/>
        </w:rPr>
        <w:t xml:space="preserve">Zitiervorschlag: § 36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