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PBefG — Duldungspflichten Dritter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Eigentümer oder sonstige Nutzungsberechtigte haben</w:t>
      </w:r>
    </w:p>
    <w:p>
      <w:pPr>
        <w:ind w:left="420"/>
      </w:pPr>
      <w:r>
        <w:t xml:space="preserve">1. Kampfmittelräumungen, archäologische Untersuchungen und Bergungen sowie Vermessungen, Boden- und Grundwasseruntersuchungen einschließlich der vorübergehenden Anbringung von Markierungszeichen und sonstiger Vorarbeiten, die zur Planung und Baudurchführung von Betriebsanlagen und Straßenbahnen notwendig sind, zu dulden, wenn die Genehmigungsbehörde diesen Arbeiten zustimmt,</w:t>
      </w:r>
    </w:p>
    <w:p>
      <w:pPr>
        <w:ind w:left="420"/>
      </w:pPr>
      <w:r>
        <w:t xml:space="preserve">2. das Anbringen oder Errichten von Haltevorrichtungen für elektronische Leitungen, von Signalen und Haltestellenzeichen durch den Unternehmer oder von ihm Beauftragte zu dulden.</w:t>
      </w:r>
    </w:p>
    <w:p>
      <w:r>
        <w:t xml:space="preserve">Arbeits-, Betriebs- oder Geschäftsräume dürfen vom Unternehmer oder von dem von ihm Beauftragten nur während der jeweiligen Arbeits- oder Geschäftsstunden, Wohnungen nur mit Zustimmung des Wohnungsinhabers betreten werden.</w:t>
      </w:r>
    </w:p>
    <w:p>
      <w:r>
        <w:t xml:space="preserve">(2) Die Absicht, Vorarbeiten im Sinne des Satzes 1 durchzuführen, ist dem Eigentümer oder sonstigen Nutzungsberechtigten mindestens zwei Wochen vorher unmittelbar oder öffentlich bekannt zu geben.</w:t>
      </w:r>
    </w:p>
    <w:p>
      <w:r>
        <w:t xml:space="preserve">(3) Die Zustimmung der Genehmigungsbehörde zu den Vorarbeiten begründet keinen Anspruch auf Erteilung der Genehmigung nach § 9 Abs. 1 Nr. 1.</w:t>
      </w:r>
    </w:p>
    <w:p>
      <w:r>
        <w:t xml:space="preserve">(4) Über eine Verpflichtung zur Duldung der in Absatz 1 Nr. 2 bezeichneten technischen Einrichtungen ist beim Bau neuer Betriebsanlagen für Straßenbahnen im Planfeststellungsverfahren zu entscheiden. Im übrigen entscheidet die Genehmigungsbehörde.</w:t>
      </w:r>
    </w:p>
    <w:p>
      <w:r>
        <w:t xml:space="preserve">(5) Für Schäden, die durch Vorarbeiten, das Anbringen, Errichten oder Entfernen technischer Einrichtungen verursacht worden sind, hat der Unternehmer Entschädigung zu leisten. § 31 Abs. 5 gilt entsprechend. Für die Geltendmachung von Entschädigungsansprüchen ist der ordentliche Rechtsweg gegeben.</w:t>
      </w:r>
    </w:p>
    <w:p>
      <w:r>
        <w:rPr>
          <w:color w:val="555555"/>
          <w:sz w:val="17"/>
        </w:rPr>
        <w:t xml:space="preserve">Zitiervorschlag: § 32 PBefG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