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PBefG — Unternehmer</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Die Genehmigung wird dem Unternehmer für einen bestimmten Verkehr (§ 9) und für seine Person (natürliche oder juristische Person) erteilt.</w:t>
      </w:r>
    </w:p>
    <w:p>
      <w:r>
        <w:t xml:space="preserve">(2) Der Unternehmer oder derjenige, auf den die Betriebsführung übertragen worden ist, muß den Verkehr im eigenen Namen, unter eigener Verantwortung und für eigene Rechnung betreiben. Die von der Landesregierung bestimmte Behörde kann in Einzelfällen Ausnahmen zulassen.</w:t>
      </w:r>
    </w:p>
    <w:p>
      <w:r>
        <w:t xml:space="preserve">(3) Sollen Straßenbahnbetriebsanlagen von einem anderen als dem Unternehmer gebaut werden, kann die Genehmigung für ihren Bau und für die Linienführung (§ 9 Abs. 1 Nr. 1) dem anderen erteilt werden; die für den Unternehmer geltenden Vorschriften des Gesetzes und der auf Grund des Gesetzes erlassenen Rechtsverordnungen sind entsprechend anzuwenden.</w:t>
      </w:r>
    </w:p>
    <w:p>
      <w:r>
        <w:rPr>
          <w:color w:val="555555"/>
          <w:sz w:val="17"/>
        </w:rPr>
        <w:t xml:space="preserve">Zitiervorschlag: § 3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