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PBefG — Vorzeitige Besitzeinweisung</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Ist der sofortige Beginn von Bauarbeiten geboten und weigert sich der Eigentümer oder Besitzer, den Besitz eines für den Bau oder die Änderung einer Betriebsanlage für Straßenbahnen benötigten Grundstücks durch Vereinbarung unter Vorbehalt aller Entschädigungsansprüche zu überlassen, so hat die Enteignungsbehörde den Unternehmer auf Antrag nach Feststellung des Planes oder Erteilung der Plangenehmigung in den Besitz einzuweisen. Der Planfeststellungsbeschluß oder die Plangenehmigung müssen vollziehbar sein. Weiterer Voraussetzungen bedarf es nicht.</w:t>
      </w:r>
    </w:p>
    <w:p>
      <w:r>
        <w:t xml:space="preserve">(1a) Der Unternehmer kann verlangen, dass bereits nach Ablauf der Einwendungsfrist nach § 73 Absatz 2 des Verwaltungsverfahrensgesetzes das Verfahren zur vorzeitigen Besitzeinweisung in das Grundstück eines Dritten durchgeführt wird. In diesem Fall ist der nach dem Verfahrensstand zu erwartende Planfeststellungsbeschluss oder die zu erwartende Plangenehmigung dem Verfahren zur vorzeitigen Besitzeinweisung zugrunde zu legen. Der Besitzeinweisungsbeschluss ist mit der aufschiebenden Bedingung zu verbinden, dass sein Ergebnis durch den Planfeststellungsbeschluss oder die Plangenehmigung bestätigt wird. Wird das Ergebnis des Besitzeinweisungsbeschlusses durch den Planfeststellungsbeschluss oder die Plangenehmigung nicht bestätigt, ist ein neuer Besitzeinweisungsbeschluss auf der Grundlage des ergangenen Planfeststellungsbeschlusses oder der ergangenen Plangenehmigung herbeizuführen.</w:t>
      </w:r>
    </w:p>
    <w:p>
      <w:r>
        <w:t xml:space="preserve">(2) Die Enteignungsbehörde hat spätestens sechs Wochen nach Eingang des Antrags auf Besitzeinweisung mit den Beteiligten mündlich zu verhandeln. Hierzu sind der Unternehmer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daß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Beschluß über die Besitzeinweisung ist dem Unternehmer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Unternehmer Besitzer. Der Unternehmer darf auf dem Grundstück das im Antrag auf Besitzeinweisung bezeichnete Bauvorhaben durchführen und die dafür erforderlichen Maßnahmen treffen.</w:t>
      </w:r>
    </w:p>
    <w:p>
      <w:r>
        <w:t xml:space="preserve">(5) Der Unternehmer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Beschluß festzusetzen.</w:t>
      </w:r>
    </w:p>
    <w:p>
      <w:r>
        <w:t xml:space="preserve">(6) Wird der festgestellte Plan oder die Plangenehmigung aufgehoben, so ist auch die vorzeitige Besitzeinweisung aufzuheben und der vorherige Besitzer wieder in den Besitz einzuweisen. Der Unternehmer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t xml:space="preserve">(8) Die Absätze 1 bis 7 gelten entsprechend für Grundstücke, die für Unterhaltungsmaßnahmen benötigt werden. Bei Unterhaltungsmaßnahmen bedarf es nicht der vorherigen Planfeststellung oder Plangenehmigung. Über die vorzeitige Besitzeinweisung nach Absatz 1 entscheidet bei Unterhaltungsmaßnahmen die Enteignungsbehörde.</w:t>
      </w:r>
    </w:p>
    <w:p>
      <w:r>
        <w:t xml:space="preserve">(9) Im Übrigen gelten die Enteignungsgesetze der Länder.</w:t>
      </w:r>
    </w:p>
    <w:p>
      <w:r>
        <w:rPr>
          <w:color w:val="555555"/>
          <w:sz w:val="17"/>
        </w:rPr>
        <w:t xml:space="preserve">Zitiervorschlag: § 29b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