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28a PBefG — Veränderungssperre, Vorkaufsrecht</w:t>
      </w:r>
    </w:p>
    <w:p>
      <w:r>
        <w:rPr>
          <w:color w:val="555555"/>
          <w:sz w:val="18"/>
        </w:rPr>
        <w:t xml:space="preserve">Personenbeförderungsgesetz</w:t>
      </w:r>
    </w:p>
    <w:p>
      <w:r>
        <w:rPr>
          <w:color w:val="555555"/>
          <w:sz w:val="18"/>
        </w:rPr>
        <w:t xml:space="preserve">Stand: 30.07.2026 (konsolidierte Textfassung, kein amtliches Inkrafttretensdatum)</w:t>
      </w:r>
    </w:p>
    <w:p>
      <w:r>
        <w:t xml:space="preserve">(1) Mit Beginn der Auslegung der Pläne im Internet oder von dem Zeitpunkt an, zu dem den Betroffenen Gelegenheit gegeben wird, den Plan einzusehen (§ 73 Absatz 1 des Verwaltungsverfahrensgesetzes), dürfen auf den vom Plan betroffenen Flächen bis zu ihrer Inanspruchnahme wesentlich wertsteigernde oder die geplanten Baumaßnahmen erheblich erschwerende Veränderungen nicht vorgenommen werden (Veränderungssperre). Veränderungen, die in rechtlich zulässiger Weise vorher begonnen worden sind, Unterhaltungsarbeiten und die Fortführung einer bisher ausgeübten Nutzung werden davon nicht berührt. Unzulässige Veränderungen bleiben bei der Anordnung von Vorkehrungen und Anlagen und im Entschädigungsverfahren unberücksichtigt.</w:t>
      </w:r>
    </w:p>
    <w:p>
      <w:r>
        <w:t xml:space="preserve">(2) Dauert die Veränderungssperre über vier Jahre, können die Eigentümer für die dadurch entstandenen Vermögensnachteile Entschädigung verlangen.</w:t>
      </w:r>
    </w:p>
    <w:p>
      <w:r>
        <w:t xml:space="preserve">(3) In den Fällen des Absatzes 1 Satz 1 steht dem Unternehmer an den betroffenen Flächen ein Vorkaufsrecht zu.</w:t>
      </w:r>
    </w:p>
    <w:p>
      <w:r>
        <w:rPr>
          <w:color w:val="555555"/>
          <w:sz w:val="17"/>
        </w:rPr>
        <w:t xml:space="preserve">Zitiervorschlag: § 28a PBefG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https://recht.nulegal.eu/gesetze/PBefG/28a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