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PBefG — Erlöschen der Genehmigung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Genehmigung erlischt</w:t>
      </w:r>
    </w:p>
    <w:p>
      <w:pPr>
        <w:ind w:left="420"/>
      </w:pPr>
      <w:r>
        <w:t xml:space="preserve">1. bei einem Straßenbahn-, Obusverkehr oder Linienverkehr mit Kraftfahrzeugen sowie einem Taxenverkehr, wenn der Unternehmer</w:t>
      </w:r>
    </w:p>
    <w:p>
      <w:pPr>
        <w:ind w:left="780"/>
      </w:pPr>
      <w:r>
        <w:t xml:space="preserve">a) den Betrieb nicht innerhalb der ihm von der Genehmigungsbehörde gesetzten Frist aufgenommen hat oder</w:t>
      </w:r>
    </w:p>
    <w:p>
      <w:pPr>
        <w:ind w:left="780"/>
      </w:pPr>
      <w:r>
        <w:t xml:space="preserve">b) von der Verpflichtung zur Aufrechterhaltung des gesamten ihm genehmigten Verkehrs dauernd entbunden wird,</w:t>
      </w:r>
    </w:p>
    <w:p>
      <w:pPr>
        <w:ind w:left="420"/>
      </w:pPr>
      <w:r>
        <w:t xml:space="preserve">2. beim Taxenverkehr, wenn der Unternehmer seinen Betriebssitz in eine andere Gemeinde verlegt.</w:t>
      </w:r>
    </w:p>
    <w:p>
      <w:r>
        <w:rPr>
          <w:color w:val="555555"/>
          <w:sz w:val="17"/>
        </w:rPr>
        <w:t xml:space="preserve">Zitiervorschlag: § 26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