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25a PBefG — Untersagung von Personenkraftverkehrsgeschäften</w:t>
      </w:r>
    </w:p>
    <w:p>
      <w:r>
        <w:rPr>
          <w:color w:val="555555"/>
          <w:sz w:val="18"/>
        </w:rPr>
        <w:t xml:space="preserve">Personenbeförderungsgesetz</w:t>
      </w:r>
    </w:p>
    <w:p>
      <w:r>
        <w:rPr>
          <w:color w:val="555555"/>
          <w:sz w:val="18"/>
        </w:rPr>
        <w:t xml:space="preserve">Stand: 14.03.2026 (konsolidierte Textfassung, kein amtliches Inkrafttretensdatum)</w:t>
      </w:r>
    </w:p>
    <w:p>
      <w:r>
        <w:t xml:space="preserve">Rechtfertigen Tatsachen die Annahme, dass beim Verkehr mit Kraftomnibussen der Unternehmer oder der Verkehrsleiter die Voraussetzungen hinsichtlich der Zuverlässigkeit nach Artikel 6 der Verordnung (EG) Nr. 1071/2009 nicht erfüllt, kann dem Unternehmer oder dem Verkehrsleiter die Führung von Personenkraftverkehrsgeschäften untersagt werden. Das Untersagungsverfahren kann unabhängig von einem Verfahren auf Widerruf der Genehmigung durchgeführt werden. Auf Antrag ist dem Unternehmer oder dem Verkehrsleiter die Führung von Personenkraftverkehrsgeschäften von der Behörde, die die Führung von Personenkraftverkehrsgeschäften untersagt hat, wieder zu gestatten, wenn</w:t>
      </w:r>
    </w:p>
    <w:p>
      <w:pPr>
        <w:ind w:left="420"/>
      </w:pPr>
      <w:r>
        <w:t xml:space="preserve">1. Tatsachen die Annahme rechtfertigen, dass eine Unzuverlässigkeit im Sinne des Satzes 1 nicht mehr vorliegt, und</w:t>
      </w:r>
    </w:p>
    <w:p>
      <w:pPr>
        <w:ind w:left="420"/>
      </w:pPr>
      <w:r>
        <w:t xml:space="preserve">2. der Betroffene eine Prüfung nach Artikel 14 Absatz 1 Unterabsatz 2 der Verordnung (EG) Nr. 1071/2009 in der Fassung vom 15. Juli 2020 bestanden hat.</w:t>
      </w:r>
    </w:p>
    <w:p>
      <w:r>
        <w:t xml:space="preserve">Die Wiederaufnahme der Führung von Personenkraftverkehrsgeschäften kann nicht vor Ablauf eines Jahres nach Bestandskraft der Untersagungsverfügung gestattet werden.</w:t>
      </w:r>
    </w:p>
    <w:p>
      <w:r>
        <w:rPr>
          <w:color w:val="555555"/>
          <w:sz w:val="17"/>
        </w:rPr>
        <w:t xml:space="preserve">Zitiervorschlag: § 25a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https://recht.nulegal.eu/gesetze/PBefG/25a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