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PBefG — Widerruf der Genehmigung</w:t>
      </w:r>
    </w:p>
    <w:p>
      <w:r>
        <w:rPr>
          <w:color w:val="555555"/>
          <w:sz w:val="18"/>
        </w:rPr>
        <w:t xml:space="preserve">Personenbeförderungsgesetz</w:t>
      </w:r>
    </w:p>
    <w:p>
      <w:r>
        <w:rPr>
          <w:color w:val="555555"/>
          <w:sz w:val="18"/>
        </w:rPr>
        <w:t xml:space="preserve">Stand: 10.06.2019 (konsolidierte Textfassung, kein amtliches Inkrafttretensdatum)</w:t>
      </w:r>
    </w:p>
    <w:p>
      <w:r>
        <w:t xml:space="preserve">(1) Die Genehmigungsbehörde hat die Genehmigung zu widerrufen, wenn</w:t>
      </w:r>
    </w:p>
    <w:p>
      <w:pPr>
        <w:ind w:left="420"/>
      </w:pPr>
      <w:r>
        <w:t xml:space="preserve">1. nicht mehr alle Voraussetzungen des § 13 Absatz 1 Satz 1 Nummer 1 bis 3 vorliegen,</w:t>
      </w:r>
    </w:p>
    <w:p>
      <w:pPr>
        <w:ind w:left="420"/>
      </w:pPr>
      <w:r>
        <w:t xml:space="preserve">2. bei eigenwirtschaftlichen Verkehren die Betriebspflichten nachhaltig nicht erfüllt werden oder</w:t>
      </w:r>
    </w:p>
    <w:p>
      <w:pPr>
        <w:ind w:left="420"/>
      </w:pPr>
      <w:r>
        <w:t xml:space="preserve">3. bei Verkehren nach § 8a Absatz 1 Satz 2 in Verbindung mit Artikel 3 Absatz 1 der Verordnung (EG) Nr. 1370/2007 nach Feststellung der zuständigen Behörde kein wirksamer öffentlicher Dienstleistungsauftrag mehr besteht.</w:t>
      </w:r>
    </w:p>
    <w:p>
      <w:r>
        <w:t xml:space="preserve">Die erforderliche Zuverlässigkeit des Unternehmers ist insbesondere nicht mehr gegeben, wenn in seinem Verkehrsunternehmen trotz schriftlicher Mahnung die der Verkehrssicherheit dienenden Vorschriften nicht befolgt werden oder den Verpflichtungen zuwidergehandelt wird, die dem Unternehmer nach diesem Gesetz oder nach den auf Grund dieses Gesetzes erlassenen Rechtsvorschriften obliegen.</w:t>
      </w:r>
    </w:p>
    <w:p>
      <w:r>
        <w:t xml:space="preserve">(2) Die Genehmigungsbehörde kann die Genehmigung widerrufen, wenn die Voraussetzungen des § 13 Absatz 1 Satz 1 Nummer 4 nicht mehr vorliegen oder der Unternehmer die ihm gesetzlich obliegenden arbeitsrechtlichen, sozialrechtlichen oder die sich aus seinem Unternehmen ergebenden steuerrechtlichen Verpflichtungen wiederholt nicht erfüllt oder in schwerwiegender Weise dagegen verstoßen hat.</w:t>
      </w:r>
    </w:p>
    <w:p>
      <w:r>
        <w:t xml:space="preserve">(3) Auf Verlangen der Genehmigungsbehörde hat der Unternehmer den Nachweis zu führen, dass die Voraussetzungen des § 13 Absatz 1 Satz 1 Nummer 4 vorliegen und die sonst in Absatz 2 bezeichneten Verpflichtungen erfüllt werden. Die Finanzbehörden dürfen den Genehmigungsbehörden Mitteilung über die wiederholte Nichterfüllung der sich aus dem Unternehmen ergebenden steuerrechtlichen Verpflichtungen oder die Abgabe der Vermögensauskunft nach § 284 der Abgabenordnung machen.</w:t>
      </w:r>
    </w:p>
    <w:p>
      <w:r>
        <w:t xml:space="preserve">(3a) Soweit beim Verkehr mit Kraftomnibussen eine Genehmigung nicht nach Artikel 13 Absatz 3 der Verordnung (EG) Nr. 1071/2009 zu entziehen ist, hat die zuständige Behörde die Genehmigung zu widerrufen, wenn nachträglich Tatsachen eintreten, die zur Versagung der Berufszulassung hätten führen müssen. Artikel 13 Absatz 1 der Verordnung (EG) Nr. 1071/2009 ist entsprechend anzuwenden. Absatz 3 Satz 2 gilt entsprechend.</w:t>
      </w:r>
    </w:p>
    <w:p>
      <w:r>
        <w:t xml:space="preserve">(4) Die Absätze 1 bis 3a sind auf den Widerruf der Genehmigung für die Übertragung der Betriebsführung entsprechend anzuwenden.</w:t>
      </w:r>
    </w:p>
    <w:p>
      <w:r>
        <w:rPr>
          <w:color w:val="555555"/>
          <w:sz w:val="17"/>
        </w:rPr>
        <w:t xml:space="preserve">Zitiervorschlag: § 25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