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PBefG — Haftung für Sachschäden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Unternehmer kann die Haftung für Sachschäden gegenüber jeder beförderten Person nur insoweit ausschließen, als der Schaden 1 000 Euro übersteigt und nicht auf Vorsatz oder grober Fahrlässigkeit beruht.</w:t>
      </w:r>
    </w:p>
    <w:p>
      <w:r>
        <w:t xml:space="preserve">(2) Abweichend von Absatz 1 kann der Unternehmer im Falle eines Unfalls mit einem Kraftomnibus, den er im Linienverkehr mit einer Wegstrecke von mindestens 250 Kilometern oder im Gelegenheitsverkehr einsetzt, die Haftung auf höchstens 1 200 Euro je Gepäckstück beschränken, soweit der Schaden nicht auf Vorsatz oder grober Fahrlässigkeit beruht.</w:t>
      </w:r>
    </w:p>
    <w:p>
      <w:r>
        <w:t xml:space="preserve">(3) Im Linien- und Gelegenheitsverkehr mit Kraftomnibussen ist ein Haftungsausschluss für beschädigte oder abhandengekommene Mobilitätshilfen nicht zulässig.</w:t>
      </w:r>
    </w:p>
    <w:p>
      <w:r>
        <w:rPr>
          <w:color w:val="555555"/>
          <w:sz w:val="17"/>
        </w:rPr>
        <w:t xml:space="preserve">Zitiervorschlag: § 23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