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PBefG — Einstweilige Erlaubnis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Wenn eine sofortige Einrichtung, Erweiterung oder wesentliche Änderung eines Straßenbahn-, Obusverkehrs oder Linienverkehrs mit Kraftfahrzeugen im öffentlichen Verkehrsinteresse liegt, kann die Genehmigungsbehörde, in deren Bezirk der Verkehr betrieben werden soll, dem Antragsteller eine widerrufliche einstweilige Erlaubnis erteilen; die Voraussetzungen des § 13 Abs. 1 oder Absatz 1a müssen vorliegen. Die Erteilung ist auch den in § 14 Abs. 1 Nr. 1 genannten Unternehmern bekanntzugeben.</w:t>
      </w:r>
    </w:p>
    <w:p>
      <w:r>
        <w:t xml:space="preserve">(2) Die einstweilige Erlaubnis muss enthalten</w:t>
      </w:r>
    </w:p>
    <w:p>
      <w:pPr>
        <w:ind w:left="420"/>
      </w:pPr>
      <w:r>
        <w:t xml:space="preserve">1. den Hinweis auf diese Vorschrift mit einem Zusatz, dass die einstweilige Erlaubnis einen Anspruch auf Erteilung einer Genehmigung nicht begründet,</w:t>
      </w:r>
    </w:p>
    <w:p>
      <w:pPr>
        <w:ind w:left="420"/>
      </w:pPr>
      <w:r>
        <w:t xml:space="preserve">2. Name, Wohn- und Betriebssitz des Unternehmers,</w:t>
      </w:r>
    </w:p>
    <w:p>
      <w:pPr>
        <w:ind w:left="420"/>
      </w:pPr>
      <w:r>
        <w:t xml:space="preserve">3. Geltungsdauer,</w:t>
      </w:r>
    </w:p>
    <w:p>
      <w:pPr>
        <w:ind w:left="420"/>
      </w:pPr>
      <w:r>
        <w:t xml:space="preserve">4. etwaige Bedingungen und Auflagen,</w:t>
      </w:r>
    </w:p>
    <w:p>
      <w:pPr>
        <w:ind w:left="420"/>
      </w:pPr>
      <w:r>
        <w:t xml:space="preserve">5. Linienführung oder beim Linienbedarfsverkehr das Gebiet, in dem der Verkehr betrieben wird.</w:t>
      </w:r>
    </w:p>
    <w:p>
      <w:r>
        <w:t xml:space="preserve">(3) Die einstweilige Erlaubnis erlischt nach sechs Monaten, soweit sie nicht vorher widerrufen wird. In den Fällen des Artikels 5 Absatz 5 der Verordnung (EG) Nr. 1370/2007 kann die einstweilige Erlaubnis auf bis zu zwei Jahre befristet werden. Sie begründet keinen Anspruch auf Erteilung einer Genehmigung. § 15 Abs. 3 und 5 gilt entsprechend.</w:t>
      </w:r>
    </w:p>
    <w:p>
      <w:r>
        <w:t xml:space="preserve">(4) § 17 Abs. 3, 4 und 5 gilt entsprechend.</w:t>
      </w:r>
    </w:p>
    <w:p>
      <w:r>
        <w:rPr>
          <w:color w:val="555555"/>
          <w:sz w:val="17"/>
        </w:rPr>
        <w:t xml:space="preserve">Zitiervorschlag: § 20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