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PBefG — Anhörungsverfahren</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Vor der Entscheidung über den Antrag auf Erteilung der Genehmigung für die Beförderung von Personen mit Straßenbahnen, Obussen oder mit Kraftfahrzeugen im Linienverkehr hat die Genehmigungsbehörde</w:t>
      </w:r>
    </w:p>
    <w:p>
      <w:pPr>
        <w:ind w:left="420"/>
      </w:pPr>
      <w:r>
        <w:t xml:space="preserve">1. die Unternehmer, die im Einzugsbereich des beantragten Verkehrs Eisenbahn-, Straßenbahn-, Obusverkehr oder Linienverkehr mit Kraftfahrzeugen betreiben, zu hören;</w:t>
      </w:r>
    </w:p>
    <w:p>
      <w:pPr>
        <w:ind w:left="420"/>
      </w:pPr>
      <w:r>
        <w:t xml:space="preserve">2. die Stellungnahmen der im Einzugsbereich des beantragten Verkehrs liegenden Gemeinden, bei kreisangehörigen Gemeinden auch der Landkreise, der Aufgabenträger und der Verbundorganisationen, soweit diese Aufgaben für die Aufgabenträger oder Unternehmer wahrnehmen, der örtlich zuständigen Träger der Straßenbaulast, der nach Landesrecht zuständigen Planungsbehörden und der für Gewerbeaufsicht zuständigen Behörden sowie anderer Behörden, deren Aufgaben durch den Antrag berührt werden, einzuholen;</w:t>
      </w:r>
    </w:p>
    <w:p>
      <w:pPr>
        <w:ind w:left="420"/>
      </w:pPr>
      <w:r>
        <w:t xml:space="preserve">3. die Industrie- und Handelskammern, die betroffenen Fachgewerkschaften und die Fachverbände der Verkehrtreibenden gutachtlich zu hören; sie kann auch weitere Stellen hören.</w:t>
      </w:r>
    </w:p>
    <w:p>
      <w:r>
        <w:t xml:space="preserve">Bei einem Antrag auf Erteilung einer Genehmigung für einen eigenwirtschaftlichen Verkehr mit Straßenbahnen, Obussen oder Kraftfahrzeugen im Linienverkehr ist das Anhörungsverfahren erst nach dem Ablauf der Antragsfrist in § 12 Absatz 5 oder 6 durchzuführen.</w:t>
      </w:r>
    </w:p>
    <w:p>
      <w:r>
        <w:t xml:space="preserve">(2) Vor der Entscheidung über den Antrag auf Erteilung einer Genehmigung für die Beförderung von Personen mit Kraftfahrzeugen im Gelegenheitsverkehr hat die Genehmigungsbehörde die Gemeinde, in deren Gebiet der Betriebssitz des Unternehmens liegt, die nach Landesrecht für die Gewerbeaufsicht zuständige Behörde, die Industrie- und Handelskammer, die Fachgewerkschaften und Verkehrsverbände gutachtlich zu hören. Sie kann auch weitere Stellen hören.</w:t>
      </w:r>
    </w:p>
    <w:p>
      <w:r>
        <w:t xml:space="preserve">(3) Die Genehmigungsbehörde kann von der Durchführung des Anhörungsverfahrens absehen, wenn sie aus eigener Kenntnis der Sachlage dem Antrag nicht entsprechen will oder in den Fällen des § 2 Abs. 2 die Durchführung des Anhörungsverfahrens nicht zur Sachverhaltsaufklärung erforderlich ist. Wird bei einem Gelegenheitsverkehr mit Kraftfahrzeugen ein Kraftfahrzeugaustausch beantragt, ist davon abzusehen.</w:t>
      </w:r>
    </w:p>
    <w:p>
      <w:r>
        <w:t xml:space="preserve">(4) Die in den Absätzen 1 und 2 genannten Personen und Stellen können sich zu dem Antrag schriftlich gegenüber der Genehmigungsbehörde äußern. Stellungnahmen sind zu berücksichtigen, wenn diese binnen zwei Wochen, nachdem die Behörde die Vorgenannten über den Antrag in Kenntnis gesetzt hat, bei der Behörde eingehen.</w:t>
      </w:r>
    </w:p>
    <w:p>
      <w:r>
        <w:t xml:space="preserve">(5) Bei Anträgen auf Erteilung einer Genehmigung für grenzüberschreitende Gelegenheitsverkehre oder für Transitverkehre sind die Absätze 1 bis 4 nicht anzuwenden. Bei Anträgen auf Erteilung einer Genehmigung für einen Personenfernverkehr (§ 42a Satz 1) sind nach Absatz 1 Satz 1 Nummer 1 nur die Unternehmer zu hören, deren Rechte nach § 42a Satz 3 berührt sein können; Absatz 1 Satz 1 Nummer 3 ist nicht anzuwenden.</w:t>
      </w:r>
    </w:p>
    <w:p>
      <w:r>
        <w:rPr>
          <w:color w:val="555555"/>
          <w:sz w:val="17"/>
        </w:rPr>
        <w:t xml:space="preserve">Zitiervorschlag: § 14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