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PBefG§45aV 5</w:t>
      </w:r>
    </w:p>
    <w:p>
      <w:r>
        <w:rPr>
          <w:color w:val="555555"/>
          <w:sz w:val="18"/>
        </w:rPr>
        <w:t xml:space="preserve">Fünfte Verordnung über die durchschnittlichen verkehrsspezifischen Kosten nach dem Personenbeförderungsgesetz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66 des Personenbeförderungsgesetzes auch im Land Berlin.</w:t>
      </w:r>
    </w:p>
    <w:p>
      <w:r>
        <w:rPr>
          <w:color w:val="555555"/>
          <w:sz w:val="17"/>
        </w:rPr>
        <w:t xml:space="preserve">Zitiervorschlag: § 2 PBefG§45aV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https://recht.nulegal.eu/gesetze/PBefG%C2%A745aV%205/2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PBefG§45aV 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