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PBefAusglV — Entscheidung</w:t>
      </w:r>
    </w:p>
    <w:p>
      <w:r>
        <w:rPr>
          <w:color w:val="555555"/>
          <w:sz w:val="18"/>
        </w:rPr>
        <w:t xml:space="preserve">Verordnung über den Ausgleich gemeinwirtschaftlicher Leistungen im Straßenpersonenverkehr</w:t>
      </w:r>
    </w:p>
    <w:p>
      <w:r>
        <w:rPr>
          <w:color w:val="555555"/>
          <w:sz w:val="18"/>
        </w:rPr>
        <w:t xml:space="preserve">Stand: 10.06.2019 (konsolidierte Textfassung, kein amtliches Inkrafttretensdatum)</w:t>
      </w:r>
    </w:p>
    <w:p>
      <w:r>
        <w:t xml:space="preserve">Die Entscheidung ist schriftlich zu erlassen und dem Antragsteller zuzustellen. Wird dem Antrag nicht oder nicht in vollem Umfang entsprochen, ist die Entscheidung schriftlich zu begründen und mit einer Rechtsbehelfsbelehrung zu versehen.</w:t>
      </w:r>
    </w:p>
    <w:p>
      <w:r>
        <w:rPr>
          <w:color w:val="555555"/>
          <w:sz w:val="17"/>
        </w:rPr>
        <w:t xml:space="preserve">Zitiervorschlag: § 8 PBefAusglV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https://recht.nulegal.eu/gesetze/PBefAusglV/8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