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PBefAusglV — Antrag</w:t>
      </w:r>
    </w:p>
    <w:p>
      <w:r>
        <w:rPr>
          <w:color w:val="555555"/>
          <w:sz w:val="18"/>
        </w:rPr>
        <w:t xml:space="preserve">Verordnung über den Ausgleich gemeinwirtschaftlicher Leistungen im Straßenpersonenverkehr</w:t>
      </w:r>
    </w:p>
    <w:p>
      <w:r>
        <w:rPr>
          <w:color w:val="555555"/>
          <w:sz w:val="18"/>
        </w:rPr>
        <w:t xml:space="preserve">Stand: 10.06.2019 (konsolidierte Textfassung, kein amtliches Inkrafttretensdatum)</w:t>
      </w:r>
    </w:p>
    <w:p>
      <w:r>
        <w:t xml:space="preserve">(1) Der Antrag auf Gewährung eines Ausgleichs ist vom Unternehmer bis zum 31. Mai jeden Jahres für das vorangegangene Kalenderjahr bei der zuständigen Genehmigungsbehörde zu stellen. Der Antrag ist in dreifacher Ausfertigung nach einem bundeseinheitlichen Muster zu stellen. Bei einem von mehreren Unternehmern gebildeten zusammenhängenden Liniennetz mit einheitlichen oder verbundenen Beförderungsentgelten kann auch eine Gemeinschaftseinrichtung dieser Unternehmer die Anträge für ihre Mitglieder stellen.</w:t>
      </w:r>
    </w:p>
    <w:p>
      <w:r>
        <w:t xml:space="preserve">(2) Der Antragsteller hat im Antrag den sich nach § 45a des Gesetzes und nach den Vorschriften dieser Verordnung ergebenden Ausgleichsbetrag zu errechnen.</w:t>
      </w:r>
    </w:p>
    <w:p>
      <w:r>
        <w:t xml:space="preserve">(3) Der Antragsteller hat in zweifacher Ausfertigung die Bescheinigung eines Wirtschaftsprüfers oder einer von der Genehmigungsbehörde anerkannten Stelle oder Person über die Richtigkeit der Angaben und Ausgleichsberechnungen beizubringen. Bestehen Zweifel an der Richtigkeit der Angaben und Ausgleichsberechnungen, kann die Genehmigungsbehörde weitere Nachweise verlangen.</w:t>
      </w:r>
    </w:p>
    <w:p>
      <w:r>
        <w:rPr>
          <w:color w:val="555555"/>
          <w:sz w:val="17"/>
        </w:rPr>
        <w:t xml:space="preserve">Zitiervorschlag: § 7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