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PBefAusglV — Inkrafttreten</w:t>
      </w:r>
    </w:p>
    <w:p>
      <w:r>
        <w:rPr>
          <w:color w:val="555555"/>
          <w:sz w:val="18"/>
        </w:rPr>
        <w:t xml:space="preserve">Verordnung über den Ausgleich gemeinwirtschaftlicher Leistungen im Straßenpersonenverkehr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1977 in Kraft.</w:t>
      </w:r>
    </w:p>
    <w:p>
      <w:r>
        <w:rPr>
          <w:color w:val="555555"/>
          <w:sz w:val="17"/>
        </w:rPr>
        <w:t xml:space="preserve">Zitiervorschlag: § 11 PBefAusglV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https://recht.nulegal.eu/gesetze/PBefAusglV/11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