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PBZugV — (zu § 3 und § 7)</w:t>
      </w:r>
    </w:p>
    <w:p>
      <w:r>
        <w:rPr>
          <w:color w:val="555555"/>
          <w:sz w:val="18"/>
        </w:rPr>
        <w:t xml:space="preserve">Berufszugangsverordnung für den Straßenpersonenverkehr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1500"/>
      </w:pPr>
      <w:r>
        <w:t xml:space="preserve">Sachgebiete für Unternehmer des Taxen- und Mietwagenverkehrs</w:t>
      </w:r>
    </w:p>
    <w:p>
      <w:pPr>
        <w:ind w:left="420"/>
      </w:pPr>
      <w:r>
        <w:t xml:space="preserve">A. Sachgebiete, deren Kenntnis für innerstaatliche Beförderungen notwendig ist</w:t>
      </w:r>
    </w:p>
    <w:p>
      <w:pPr>
        <w:ind w:left="780"/>
      </w:pPr>
      <w:r>
        <w:t xml:space="preserve">1. RechtBerufsbezogenes Recht auf folgenden Gebieten:</w:t>
      </w:r>
    </w:p>
    <w:p>
      <w:pPr>
        <w:ind w:left="780"/>
      </w:pPr>
      <w:r>
        <w:t xml:space="preserve">1.1 Personenbeförderungsrechteinschließlich der Tarifbildung im Taxen- und Mietwagenverkehr</w:t>
      </w:r>
    </w:p>
    <w:p>
      <w:pPr>
        <w:ind w:left="780"/>
      </w:pPr>
      <w:r>
        <w:t xml:space="preserve">1.2 StraßenverkehrsrechtDer Bewerber muss insbesondere</w:t>
      </w:r>
    </w:p>
    <w:p>
      <w:pPr>
        <w:ind w:left="1140"/>
      </w:pPr>
      <w:r>
        <w:t xml:space="preserve">a) die erforderlichen Qualifikationen des Fahrpersonals (Fahrerlaubnis, ärztliche Bescheinigungen, Befähigungszeugnisse);</w:t>
      </w:r>
    </w:p>
    <w:p>
      <w:pPr>
        <w:ind w:left="1140"/>
      </w:pPr>
      <w:r>
        <w:t xml:space="preserve">b) die Vorschriften über die Kindersicherungspflicht</w:t>
      </w:r>
    </w:p>
    <w:p>
      <w:pPr>
        <w:ind w:left="780"/>
      </w:pPr>
      <w:r>
        <w:t xml:space="preserve">kennen.</w:t>
      </w:r>
    </w:p>
    <w:p>
      <w:pPr>
        <w:ind w:left="780"/>
      </w:pPr>
      <w:r>
        <w:t xml:space="preserve">1.3 ArbeitsrechtDer Bewerber muss insbesondere das Arbeitszeitgesetz und die Lenk- und Ruhezeiten des Fahrpersonals im Straßenverkehr kennen.</w:t>
      </w:r>
    </w:p>
    <w:p>
      <w:pPr>
        <w:ind w:left="780"/>
      </w:pPr>
      <w:r>
        <w:t xml:space="preserve">1.4 Sozialversicherungsrecht</w:t>
      </w:r>
    </w:p>
    <w:p>
      <w:pPr>
        <w:ind w:left="780"/>
      </w:pPr>
      <w:r>
        <w:t xml:space="preserve">1.5 Grundzüge des Beförderungsvertragsrechts</w:t>
      </w:r>
    </w:p>
    <w:p>
      <w:pPr>
        <w:ind w:left="780"/>
      </w:pPr>
      <w:r>
        <w:t xml:space="preserve">1.6 Grundzüge des SteuerrechtsDer Bewerber muss insbesondere die Vorschriften für folgende Steuern kennen:</w:t>
      </w:r>
    </w:p>
    <w:p>
      <w:pPr>
        <w:ind w:left="1140"/>
      </w:pPr>
      <w:r>
        <w:t xml:space="preserve">a) die Umsatzsteuer auf Verkehrsleistungen, insbesondere die Ausstellung von Rechnungen und Quittungen;</w:t>
      </w:r>
    </w:p>
    <w:p>
      <w:pPr>
        <w:ind w:left="1140"/>
      </w:pPr>
      <w:r>
        <w:t xml:space="preserve">b) die Kraftfahrzeugsteuern;</w:t>
      </w:r>
    </w:p>
    <w:p>
      <w:pPr>
        <w:ind w:left="1140"/>
      </w:pPr>
      <w:r>
        <w:t xml:space="preserve">c) die Einkommensteuer und die Gewerbesteuer.</w:t>
      </w:r>
    </w:p>
    <w:p>
      <w:pPr>
        <w:ind w:left="780"/>
      </w:pPr>
      <w:r>
        <w:t xml:space="preserve">2. Kaufmännische und finanzielle Führung des Betriebs</w:t>
      </w:r>
    </w:p>
    <w:p>
      <w:pPr>
        <w:ind w:left="780"/>
      </w:pPr>
      <w:r>
        <w:t xml:space="preserve">2.1 Zahlungsverkehr</w:t>
      </w:r>
    </w:p>
    <w:p>
      <w:pPr>
        <w:ind w:left="780"/>
      </w:pPr>
      <w:r>
        <w:t xml:space="preserve">2.2 Beförderungsentgelte und -bedingungen (Tarife)</w:t>
      </w:r>
    </w:p>
    <w:p>
      <w:pPr>
        <w:ind w:left="780"/>
      </w:pPr>
      <w:r>
        <w:t xml:space="preserve">2.3 Ermittlung der Finanz- und Rentabilitätslage eines Taxen- und Mietwagenunternehmens</w:t>
      </w:r>
    </w:p>
    <w:p>
      <w:pPr>
        <w:ind w:left="780"/>
      </w:pPr>
      <w:r>
        <w:t xml:space="preserve">2.4 BuchführungDer Bewerber muss insbesondere</w:t>
      </w:r>
    </w:p>
    <w:p>
      <w:pPr>
        <w:ind w:left="1140"/>
      </w:pPr>
      <w:r>
        <w:t xml:space="preserve">- ein Kassenbuch führen können;</w:t>
      </w:r>
    </w:p>
    <w:p>
      <w:pPr>
        <w:ind w:left="1140"/>
      </w:pPr>
      <w:r>
        <w:t xml:space="preserve">- Kenntnisse über die Ermittlung des Gewinns durch eine Betriebseinnahmen-/-ausgaben-Überschussrechnung im Sinne des § 4 Abs. 3 Einkommensteuergesetz haben.</w:t>
      </w:r>
    </w:p>
    <w:p>
      <w:pPr>
        <w:ind w:left="780"/>
      </w:pPr>
      <w:r>
        <w:t xml:space="preserve">2.5 Versicherungswesen</w:t>
      </w:r>
    </w:p>
    <w:p>
      <w:pPr>
        <w:ind w:left="780"/>
      </w:pPr>
      <w:r>
        <w:t xml:space="preserve">3. Technischer Betrieb und Betriebsdurchführung, insbesondere</w:t>
      </w:r>
    </w:p>
    <w:p>
      <w:pPr>
        <w:ind w:left="1140"/>
      </w:pPr>
      <w:r>
        <w:t xml:space="preserve">- Zulassung und Betrieb von Fahrzeugen</w:t>
      </w:r>
    </w:p>
    <w:p>
      <w:pPr>
        <w:ind w:left="1140"/>
      </w:pPr>
      <w:r>
        <w:t xml:space="preserve">- Ausrüstung und Beschaffenheit der Fahrzeuge</w:t>
      </w:r>
    </w:p>
    <w:p>
      <w:pPr>
        <w:ind w:left="1140"/>
      </w:pPr>
      <w:r>
        <w:t xml:space="preserve">- Instandhaltung und Untersuchung der Fahrzeuge</w:t>
      </w:r>
    </w:p>
    <w:p>
      <w:pPr>
        <w:ind w:left="1140"/>
      </w:pPr>
      <w:r>
        <w:t xml:space="preserve">- Bereitstellung der Fahrzeuge</w:t>
      </w:r>
    </w:p>
    <w:p>
      <w:pPr>
        <w:ind w:left="1140"/>
      </w:pPr>
      <w:r>
        <w:t xml:space="preserve">- Fernsprech- und Funkverkehr.</w:t>
      </w:r>
    </w:p>
    <w:p>
      <w:pPr>
        <w:ind w:left="780"/>
      </w:pPr>
      <w:r>
        <w:t xml:space="preserve">4. Straßenverkehrssicherheit, Unfallverhütung sowie Grundregeln des Umweltschutzes bei der Verwendung und Wartung der Fahrzeuge</w:t>
      </w:r>
    </w:p>
    <w:p>
      <w:pPr>
        <w:ind w:left="420"/>
      </w:pPr>
      <w:r>
        <w:t xml:space="preserve">B. Sachgebiete, deren zusätzliche Kenntnis für grenzüberschreitende Beförderungen erforderlich ist, soweit solche Beförderungen im Bezirk des Prüfungsausschusses bedeutsam sind</w:t>
      </w:r>
    </w:p>
    <w:p>
      <w:pPr>
        <w:ind w:left="780"/>
      </w:pPr>
      <w:r>
        <w:t xml:space="preserve">5.1 Berufsbezogenes Personenbeförderungsrecht, das im Verkehr mit benachbarten Staaten gilt</w:t>
      </w:r>
    </w:p>
    <w:p>
      <w:pPr>
        <w:ind w:left="780"/>
      </w:pPr>
      <w:r>
        <w:t xml:space="preserve">5.2 Paß- und zollrechtliche Vorschriften, die für den internationalen Taxen- und Mietwagenverkehr wichtig sind</w:t>
      </w:r>
    </w:p>
    <w:p>
      <w:pPr>
        <w:ind w:left="780"/>
      </w:pPr>
      <w:r>
        <w:t xml:space="preserve">5.3 Beförderungsdokumente.</w:t>
      </w:r>
    </w:p>
    <w:p>
      <w:r>
        <w:rPr>
          <w:color w:val="555555"/>
          <w:sz w:val="17"/>
        </w:rPr>
        <w:t xml:space="preserve">Zitiervorschlag: Anlage 3 PBZugV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https://recht.nulegal.eu/gesetze/PBZugV/anlage-3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