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9 PBZugV — Überwachung</w:t>
      </w:r>
    </w:p>
    <w:p>
      <w:r>
        <w:rPr>
          <w:color w:val="555555"/>
          <w:sz w:val="18"/>
        </w:rPr>
        <w:t xml:space="preserve">Berufszugangsverordnung für den Straßenpersonenverkehr</w:t>
      </w:r>
    </w:p>
    <w:p>
      <w:r>
        <w:rPr>
          <w:color w:val="555555"/>
          <w:sz w:val="18"/>
        </w:rPr>
        <w:t xml:space="preserve">Stand: 10.06.2019 (konsolidierte Textfassung, kein amtliches Inkrafttretensdatum)</w:t>
      </w:r>
    </w:p>
    <w:p>
      <w:r>
        <w:t xml:space="preserve">(1) Die zuständigen Behörden vergewissern sich regelmäßig und mindestens alle fünf Jahre, dass das Unternehmen die Berufszugangsvoraussetzungen nach § 13 Abs. 1 des Personenbeförderungsgesetzes in Verbindung mit dieser Verordnung noch erfüllt. Zu diesem Zweck kann sie die in den §§ 1 und 2 bezeichneten Auskünfte erneut einholen. Im Bereich des Taxen- und Mietwagenverkehrs vergewissern sich die zuständigen Behörden über das Vorliegen der Berufszugangsvoraussetzungen in den Fällen, in denen Zweifel daran angezeigt sind, dass die Voraussetzungen noch vorliegen.</w:t>
      </w:r>
    </w:p>
    <w:p>
      <w:r>
        <w:t xml:space="preserve">(2) Die Behörde teilt dem Unternehmen das Ergebnis der Überprüfung nach Absatz 1 schriftlich mit.</w:t>
      </w:r>
    </w:p>
    <w:p>
      <w:r>
        <w:t xml:space="preserve">(3) Sollte die finanzielle Leistungsfähigkeit nach § 2 zum Zeitpunkt der Beurteilung nicht gegeben sein, die wirtschaftliche Lage des Unternehmens jedoch annehmen lassen, dass sie in absehbarer Zukunft auf der Grundlage eines Finanzplans erneut auf Dauer erfüllt werden kann, kann die zuständige Behörde eine Frist für den Nachweis der finanziellen Leistungsfähigkeit einräumen, die die Dauer von sechs Monaten nicht überschreiten darf.</w:t>
      </w:r>
    </w:p>
    <w:p>
      <w:r>
        <w:t xml:space="preserve">(4) Verfahren auf Erneuerung einer Genehmigung nach dem Personenbeförderungsgesetz ersetzen die Kontrolle nach Absatz 1, soweit dabei zugleich der Nachweis geführt wird, dass die Berufszulassungsvoraussetzungen insgesamt erfüllt sind.</w:t>
      </w:r>
    </w:p>
    <w:p>
      <w:r>
        <w:t xml:space="preserve">(5) Beim Verkehr mit Kraftomnibussen gelten die Artikel 12 und 13 der Verordnung (EG) Nr. 1071/2009. Absatz 1 Satz 2 und Absatz 2 gelten entsprechend. Verfahren auf Erneuerung der Gemeinschaftslizenz nach Artikel 4 oder 6 der Verordnung (EG) Nr. 1073/2009 ersetzen die Kontrolle nach Artikel 12 der Verordnung (EG) Nr. 1071/2009, soweit dabei zugleich der Nachweis geführt wird, dass die Berufszulassungsvoraussetzungen insgesamt erfüllt sind.</w:t>
      </w:r>
    </w:p>
    <w:p>
      <w:r>
        <w:rPr>
          <w:color w:val="555555"/>
          <w:sz w:val="17"/>
        </w:rPr>
        <w:t xml:space="preserve">Zitiervorschlag: § 9 PBZugV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https://recht.nulegal.eu/gesetze/PBZugV/9</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