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PBZugV — Fachliche Eignung</w:t>
      </w:r>
    </w:p>
    <w:p>
      <w:r>
        <w:rPr>
          <w:color w:val="555555"/>
          <w:sz w:val="18"/>
        </w:rPr>
        <w:t xml:space="preserve">Berufszugangsverordnung für den Straßenpersonenverkehr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Verkehr mit Kraftomnibussen ist fachlich geeignet im Sinne des Artikels 3 Absatz 1 Buchstabe d der Verordnung (EG) Nr. 1071/2009, wer über die Kenntnisse verfügt, die zur ordnungsgemäßen Führung eines Straßenpersonenverkehrsunternehmens erforderlich sind, und zwar auf den jeweiligen Sachgebieten, die im Anhang I Teil I der Verordnung (EG) Nr. 1071/2009 in der jeweils geltenden Fassung aufgeführt sind.</w:t>
      </w:r>
    </w:p>
    <w:p>
      <w:r>
        <w:t xml:space="preserve">(2) Für die fachliche Eignung nach § 13 Absatz 1 Nummer 3 des Personenbeförderungsgesetzes gilt Absatz 1 im Hinblick auf die Vorschriften zum Personenkraftverkehr entsprechend. Abweichend davon ergeben sich die für den Taxen- und Mietwagenverkehr erforderlichen Kenntnisse aus Anlage 3.</w:t>
      </w:r>
    </w:p>
    <w:p>
      <w:r>
        <w:rPr>
          <w:color w:val="555555"/>
          <w:sz w:val="17"/>
        </w:rPr>
        <w:t xml:space="preserve">Zitiervorschlag: § 3 PBZugV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https://recht.nulegal.eu/gesetze/PBZugV/3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