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PBZugV — Finanzielle Leistungsfähigkeit</w:t>
      </w:r>
    </w:p>
    <w:p>
      <w:r>
        <w:rPr>
          <w:color w:val="555555"/>
          <w:sz w:val="18"/>
        </w:rPr>
        <w:t xml:space="preserve">Berufszugangsverordnung für den Straßenpersonenverkehr</w:t>
      </w:r>
    </w:p>
    <w:p>
      <w:r>
        <w:rPr>
          <w:color w:val="555555"/>
          <w:sz w:val="18"/>
        </w:rPr>
        <w:t xml:space="preserve">Stand: 01.01.2024 (konsolidierte Textfassung, kein amtliches Inkrafttretensdatum)</w:t>
      </w:r>
    </w:p>
    <w:p>
      <w:r>
        <w:t xml:space="preserve">(1) Die finanzielle Leistungsfähigkeit im Sinne des § 13 Abs. 1 Nr. 1 des Personenbeförderungsgesetzes ist als gewährleistet anzusehen, wenn die finanziellen Mittel verfügbar sind, die zur Aufnahme und ordnungsgemäßen Führung des Betriebes erforderlich sind. Sie ist zu verneinen, wenn</w:t>
      </w:r>
    </w:p>
    <w:p>
      <w:pPr>
        <w:ind w:left="420"/>
      </w:pPr>
      <w:r>
        <w:t xml:space="preserve">1. die Zahlungsfähigkeit nicht gewährleistet ist oder erhebliche Rückstände an Steuern oder an Beiträgen zur Sozialversicherung bestehen, die aus unternehmerischer Tätigkeit geschuldet werden;</w:t>
      </w:r>
    </w:p>
    <w:p>
      <w:pPr>
        <w:ind w:left="420"/>
      </w:pPr>
      <w:r>
        <w:t xml:space="preserve">2. beim Verkehr mit Taxen und Mietwagen das Eigenkapital und die Reserven des Unternehmens weniger betragen als ein Viertel der in Artikel 7 Absatz 1 Satz 2 der Verordnung (EG) Nr. 1071/2009 genannten Beträge je eingesetztem Fahrzeug.</w:t>
      </w:r>
    </w:p>
    <w:p>
      <w:r>
        <w:t xml:space="preserve">(2) Die finanzielle Leistungsfähigkeit wird durch Vorlage folgender Bescheinigungen nachgewiesen:</w:t>
      </w:r>
    </w:p>
    <w:p>
      <w:pPr>
        <w:ind w:left="420"/>
      </w:pPr>
      <w:r>
        <w:t xml:space="preserve">1. von Bescheinigungen in Steuersachen des Finanzamtes sowie Unbedenklichkeitsbescheinigungen der Gemeinde, der Träger der Sozialversicherung und der Berufsgenossenschaft, wobei die Stichtage dieser Bescheinigungen zum Zeitpunkt der Antragstellung nicht länger als drei Monate zurückliegen dürfen, sowie</w:t>
      </w:r>
    </w:p>
    <w:p>
      <w:pPr>
        <w:ind w:left="420"/>
      </w:pPr>
      <w:r>
        <w:t xml:space="preserve">2. einer Eigenkapitalbescheinigung eines Wirtschaftsprüfers, vereidigten Buchprüfers, Steuerberaters, Steuerbevollmächtigten, Fachanwalts für Steuerrecht, einer Wirtschaftsprüfungs-, Buchprüfungs- oder Berufsausübungsgesellschaft im Sinne des Steuerberatungsgesetzes oder eines Kreditinstituts nach dem Muster der Anlage 1. Ist das Unternehmen nach § 316 Abs. 1 des Handelsgesetzbuchs von einem Abschlussprüfer geprüft worden, bedarf es der Bescheinigung des Abschlussprüfers, der den Jahresabschluss geprüft hat. Bei Unternehmen des Taxen- und Mietwagenverkehrs, die keinen Jahresabschluss vorlegen können, ist eine von den vorgenannten Stellen bestätigte Vermögensübersicht vorzulegen. Der Stichtag der Eigenkapitalbescheinigung oder der Vermögensübersicht darf zum Zeitpunkt der Antragstellung nicht länger als ein Jahr zurückliegen.</w:t>
      </w:r>
    </w:p>
    <w:p>
      <w:r>
        <w:t xml:space="preserve">Der Zeitpunkt der Antragstellung im Sinne der Nummern 1 und 2 ist der Zeitpunkt, zu dem der Behörde sämtliche Antragsunterlagen einschließlich der erforderlichen Nachweise vorliegen.</w:t>
      </w:r>
    </w:p>
    <w:p>
      <w:r>
        <w:t xml:space="preserve">(3) Als Reserven können dem nach Absatz 2 Nr. 2 nachgewiesenen Eigenkapital hinzugerechnet werden:</w:t>
      </w:r>
    </w:p>
    <w:p>
      <w:pPr>
        <w:ind w:left="420"/>
      </w:pPr>
      <w:r>
        <w:t xml:space="preserve">1. die nicht realisierten Reserven in Höhe des Unterschiedsbetrages zwischen ihrem Buch- und ihrem Verkehrswert,</w:t>
      </w:r>
    </w:p>
    <w:p>
      <w:pPr>
        <w:ind w:left="420"/>
      </w:pPr>
      <w:r>
        <w:t xml:space="preserve">2. Darlehen sowie Bürgschaften, soweit sie in einer Krise des Unternehmens nach der Überschuldungsbilanz wie Eigenkapital zur Befriedigung der Unternehmensgläubiger zur Verfügung stehen, insbesondere Darlehen oder Bürgschaften, soweit für sie ein Rangrücktritt erklärt worden ist,</w:t>
      </w:r>
    </w:p>
    <w:p>
      <w:pPr>
        <w:ind w:left="420"/>
      </w:pPr>
      <w:r>
        <w:t xml:space="preserve">3. der Verkehrswert der im Privatvermögen eines persönlich haftenden Unternehmers vorhandenen Vermögensgegenstände, soweit sie unbelastet sind, und</w:t>
      </w:r>
    </w:p>
    <w:p>
      <w:pPr>
        <w:ind w:left="420"/>
      </w:pPr>
      <w:r>
        <w:t xml:space="preserve">4. die zu Gunsten des Unternehmens beliehenen Gegenstände des Privatvermögens der Gesellschafter von rechtsfähigen Personengesellschaften in Höhe der Beleihung.</w:t>
      </w:r>
    </w:p>
    <w:p>
      <w:r>
        <w:t xml:space="preserve">Der Nachweis über das Vorliegen der Nummern 1 bis 4 ist zu erbringen durch Vorlage einer Bescheinigung eines Wirtschaftsprüfers, vereidigten Buchprüfers, Steuerberaters, Steuerbevollmächtigten, Fachanwalts für Steuerrecht, einer Wirtschaftsprüfungs-, Buchprüfungs- oder Berufsausübungsgesellschaft im Sinne des Steuerberatungsgesetzes oder eines Kreditinstituts nach dem Muster der Anlage 2 (Zusatzbescheinigung). Absatz 2 Nr. 2 Satz 2 und 3 gilt entsprechend.</w:t>
      </w:r>
    </w:p>
    <w:p>
      <w:r>
        <w:t xml:space="preserve">(4) Im Zweifelsfall kann die zuständige Behörde verlangen, dass der Antragsteller ihr diejenigen Unterlagen vorlegt, auf Grund derer die Eigenkapitalbescheinigung oder die Vermögensübersicht im Sinne des Absatzes 2 Nr. 2 und die Zusatzbescheinigung im Sinne des Absatzes 3 Satz 2 erstellt wurden.</w:t>
      </w:r>
    </w:p>
    <w:p>
      <w:r>
        <w:t xml:space="preserve">(5) Beim Verkehr mit Kraftomnibussen besitzt der Unternehmer die erforderliche finanzielle Leistungsfähigkeit, wenn er die Voraussetzungen des Artikels 7 der Verordnung (EG) Nr. 1071/2009 erfüllt.</w:t>
      </w:r>
    </w:p>
    <w:p>
      <w:r>
        <w:rPr>
          <w:color w:val="555555"/>
          <w:sz w:val="17"/>
        </w:rPr>
        <w:t xml:space="preserve">Zitiervorschlag: § 2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