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PBV — Wahlrecht für Kapitalgesellschaften</w:t>
      </w:r>
    </w:p>
    <w:p>
      <w:r>
        <w:rPr>
          <w:color w:val="555555"/>
          <w:sz w:val="18"/>
        </w:rPr>
        <w:t xml:space="preserve">Pflege-Buchführungsverordnung</w:t>
      </w:r>
    </w:p>
    <w:p>
      <w:r>
        <w:rPr>
          <w:color w:val="555555"/>
          <w:sz w:val="18"/>
        </w:rPr>
        <w:t xml:space="preserve">Stand: 10.06.2019 (konsolidierte Textfassung, kein amtliches Inkrafttretensdatum)</w:t>
      </w:r>
    </w:p>
    <w:p>
      <w:r>
        <w:t xml:space="preserve">(1) Pflegeeinrichtungen, die Kapitalgesellschaften im Sinne des Zweiten Abschnitts des Dritten Buches des Handelsgesetzbuchs sind, brauchen auch für Zwecke des Handelsrechts bei der Aufstellung, Feststellung und Offenlegung ihres Jahresabschlusses nach dem Handelsgesetzbuch die Gliederungsvorschriften der §§ 266 und 275 des Handelsgesetzbuchs nicht anzuwenden. Nehmen die Pflegeeinrichtungen nach Satz 1 das Wahlrecht nach Satz 1 in Anspruch, so haben sie bei der Aufstellung, Feststellung und Offenlegung die Bilanz nach Anlage 1, die Gewinn- und Verlustrechnung nach Anlage 2 und den Anlagennachweis nach Anlage 3a zu gliedern. Nehmen die Pflegeeinrichtungen nach Satz 1 das Wahlrecht nach Satz 1 nicht in Anspruch, haben sie außerhalb des handelsrechtlichen Jahresabschlusses zusätzlich gesonderte Dokumente bestehend aus den in Satz 2 näher bezeichneten Unterlagen zu erstellen. Die im Anlagennachweis vorgeschriebenen Angaben sind auch für den Posten "Immaterielle Vermögensgegenstände" und jeweils für die Posten des Finanzanlagevermögens zu machen.</w:t>
      </w:r>
    </w:p>
    <w:p>
      <w:r>
        <w:t xml:space="preserve">(2) Bei Inanspruchnahme des Wahlrechts nach Absatz 1 Satz 1 für Zwecke des Handelsrechts gelten die Erleichterungen für kleine und mittelgroße Kapitalgesellschaften nach § 266 Abs. 1 Satz 3 und § 276 des Handelsgesetzbuchs bei der Aufstellung und Feststellung nicht; bei der Offenlegung nach den §§ 325 bis 328 des Handelsgesetzbuchs dürfen § 266 Abs. 1 Satz 3 und § 276 des Handelsgesetzbuchs mit der Maßgabe angewendet werden, daß in der Bilanz nach Anlage 1 und im Anlagennachweis nach Anlage 3a nur die mit Buchstaben und römischen Zahlen bezeichneten Posten ausgewiesen werden müssen und daß in der Gewinn- und Verlustrechnung nach Anlage 2 die Posten 1 bis 8 und 10 zu dem Posten "Rohergebnis" zusammengefaßt werden dürfen.</w:t>
      </w:r>
    </w:p>
    <w:p>
      <w:r>
        <w:rPr>
          <w:color w:val="555555"/>
          <w:sz w:val="17"/>
        </w:rPr>
        <w:t xml:space="preserve">Zitiervorschlag: § 8 PBV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